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jc w:val="left"/>
        <w:rPr>
          <w:rFonts w:hint="default" w:ascii="方正小标宋简体" w:hAnsi="宋体" w:eastAsia="仿宋_GB2312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</w:rPr>
        <w:t>附件1</w:t>
      </w:r>
    </w:p>
    <w:p>
      <w:pPr>
        <w:widowControl w:val="0"/>
        <w:adjustRightInd w:val="0"/>
        <w:snapToGrid w:val="0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南宁市202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年初中学业水平考试</w:t>
      </w:r>
    </w:p>
    <w:p>
      <w:pPr>
        <w:widowControl w:val="0"/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理化实验操作考试方案</w:t>
      </w:r>
    </w:p>
    <w:p>
      <w:pPr>
        <w:widowControl w:val="0"/>
        <w:ind w:firstLine="640" w:firstLineChars="200"/>
        <w:rPr>
          <w:color w:val="000000"/>
        </w:rPr>
      </w:pP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自治区教育厅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关于做好全区初中学业水平考试统一命题有关工作的通知》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桂教基教〔2022〕119号）和《南宁市教育局关于做好2024年全区初中学业水平考试统一命题工作的通知》（南教招考〔2024〕5号）</w:t>
      </w:r>
      <w:r>
        <w:rPr>
          <w:rFonts w:hint="eastAsia" w:ascii="仿宋_GB2312" w:hAnsi="仿宋_GB2312" w:eastAsia="仿宋_GB2312" w:cs="仿宋_GB2312"/>
          <w:color w:val="000000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为做好</w:t>
      </w:r>
      <w:r>
        <w:rPr>
          <w:rFonts w:hint="eastAsia" w:ascii="仿宋_GB2312" w:hAnsi="仿宋_GB2312" w:eastAsia="仿宋_GB2312" w:cs="仿宋_GB2312"/>
          <w:color w:val="000000"/>
        </w:rPr>
        <w:t>我市202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年初中学业水平考试物理化学实验操作考试，特制定本方案。</w:t>
      </w:r>
    </w:p>
    <w:p>
      <w:pPr>
        <w:widowControl w:val="0"/>
        <w:ind w:firstLine="640" w:firstLineChars="200"/>
        <w:rPr>
          <w:rFonts w:ascii="黑体" w:hAnsi="Times New Roman" w:eastAsia="黑体"/>
          <w:color w:val="000000"/>
        </w:rPr>
      </w:pPr>
      <w:r>
        <w:rPr>
          <w:rFonts w:hint="eastAsia" w:ascii="黑体" w:hAnsi="Times New Roman" w:eastAsia="黑体"/>
          <w:color w:val="000000"/>
          <w:lang w:val="en-US" w:eastAsia="zh-CN"/>
        </w:rPr>
        <w:t>一</w:t>
      </w:r>
      <w:r>
        <w:rPr>
          <w:rFonts w:hint="eastAsia" w:ascii="黑体" w:hAnsi="Times New Roman" w:eastAsia="黑体"/>
          <w:color w:val="000000"/>
        </w:rPr>
        <w:t>、报名和考试</w:t>
      </w:r>
    </w:p>
    <w:p>
      <w:pPr>
        <w:widowControl w:val="0"/>
        <w:ind w:firstLine="643" w:firstLineChars="200"/>
        <w:rPr>
          <w:rFonts w:hint="default" w:ascii="楷体_GB2312" w:hAnsi="楷体_GB2312" w:eastAsia="楷体_GB2312" w:cs="楷体_GB2312"/>
          <w:b/>
          <w:color w:val="00000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color w:val="000000"/>
        </w:rPr>
        <w:t>（</w:t>
      </w:r>
      <w:r>
        <w:rPr>
          <w:rFonts w:hint="eastAsia" w:ascii="楷体_GB2312" w:hAnsi="楷体_GB2312" w:eastAsia="楷体_GB2312" w:cs="楷体_GB2312"/>
          <w:b/>
          <w:color w:val="000000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color w:val="000000"/>
        </w:rPr>
        <w:t>）</w:t>
      </w:r>
      <w:r>
        <w:rPr>
          <w:rFonts w:hint="eastAsia" w:ascii="楷体_GB2312" w:hAnsi="楷体_GB2312" w:eastAsia="楷体_GB2312" w:cs="楷体_GB2312"/>
          <w:b/>
          <w:color w:val="000000"/>
          <w:lang w:val="en-US" w:eastAsia="zh-CN"/>
        </w:rPr>
        <w:t>考试对象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1.具有南宁市初中学校正式学籍的九年级在校生。</w:t>
      </w:r>
    </w:p>
    <w:p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2.在南宁市外学校就读、具有南宁市户籍且符合社会考生报名条件、有意向参加南宁市2024年中考的九年级学生。</w:t>
      </w:r>
    </w:p>
    <w:p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/>
        </w:rPr>
      </w:pPr>
      <w:r>
        <w:rPr>
          <w:rFonts w:hint="eastAsia" w:ascii="楷体_GB2312" w:hAnsi="楷体_GB2312" w:eastAsia="楷体_GB2312" w:cs="楷体_GB2312"/>
          <w:b/>
          <w:color w:val="000000"/>
        </w:rPr>
        <w:t>（</w:t>
      </w:r>
      <w:r>
        <w:rPr>
          <w:rFonts w:hint="eastAsia" w:ascii="楷体_GB2312" w:hAnsi="楷体_GB2312" w:eastAsia="楷体_GB2312" w:cs="楷体_GB2312"/>
          <w:b/>
          <w:color w:val="000000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color w:val="000000"/>
        </w:rPr>
        <w:t>）</w:t>
      </w:r>
      <w:r>
        <w:rPr>
          <w:rFonts w:hint="eastAsia" w:ascii="楷体_GB2312" w:hAnsi="楷体_GB2312" w:eastAsia="楷体_GB2312" w:cs="楷体_GB2312"/>
          <w:b/>
          <w:color w:val="000000"/>
          <w:lang w:eastAsia="zh-CN"/>
        </w:rPr>
        <w:t>考试</w:t>
      </w:r>
      <w:r>
        <w:rPr>
          <w:rFonts w:hint="eastAsia" w:ascii="楷体_GB2312" w:hAnsi="楷体_GB2312" w:eastAsia="楷体_GB2312" w:cs="楷体_GB2312"/>
          <w:b/>
          <w:color w:val="000000"/>
        </w:rPr>
        <w:t>报名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  <w:u w:val="none"/>
        </w:rPr>
      </w:pPr>
      <w:r>
        <w:rPr>
          <w:rFonts w:hint="eastAsia" w:ascii="仿宋_GB2312" w:hAnsi="仿宋_GB2312" w:eastAsia="仿宋_GB2312" w:cs="仿宋_GB2312"/>
          <w:color w:val="000000"/>
        </w:rPr>
        <w:t>考生（含社会考生）报名时间和地点，按照</w:t>
      </w:r>
      <w:r>
        <w:rPr>
          <w:rFonts w:hint="eastAsia" w:ascii="仿宋_GB2312" w:hAnsi="仿宋_GB2312" w:eastAsia="仿宋_GB2312" w:cs="仿宋_GB2312"/>
          <w:color w:val="000000"/>
          <w:u w:val="none"/>
        </w:rPr>
        <w:t>《南宁市教育局关于做好全市2024年初中学业水平考试报名工作的通知》（南教招考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color w:val="000000"/>
          <w:u w:val="none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color w:val="000000"/>
          <w:u w:val="none"/>
        </w:rPr>
        <w:t>6号）要求进行。</w:t>
      </w:r>
    </w:p>
    <w:p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/>
        </w:rPr>
      </w:pPr>
      <w:r>
        <w:rPr>
          <w:rFonts w:hint="eastAsia" w:ascii="楷体_GB2312" w:hAnsi="楷体_GB2312" w:eastAsia="楷体_GB2312" w:cs="楷体_GB2312"/>
          <w:b/>
          <w:color w:val="000000"/>
        </w:rPr>
        <w:t>（</w:t>
      </w:r>
      <w:r>
        <w:rPr>
          <w:rFonts w:hint="eastAsia" w:ascii="楷体_GB2312" w:hAnsi="楷体_GB2312" w:eastAsia="楷体_GB2312" w:cs="楷体_GB2312"/>
          <w:b/>
          <w:color w:val="000000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color w:val="000000"/>
        </w:rPr>
        <w:t>）</w:t>
      </w:r>
      <w:r>
        <w:rPr>
          <w:rFonts w:hint="eastAsia" w:ascii="楷体_GB2312" w:hAnsi="楷体_GB2312" w:eastAsia="楷体_GB2312" w:cs="楷体_GB2312"/>
          <w:b/>
          <w:color w:val="000000"/>
          <w:lang w:eastAsia="zh-CN"/>
        </w:rPr>
        <w:t>考试</w:t>
      </w:r>
      <w:r>
        <w:rPr>
          <w:rFonts w:hint="eastAsia" w:ascii="楷体_GB2312" w:hAnsi="楷体_GB2312" w:eastAsia="楷体_GB2312" w:cs="楷体_GB2312"/>
          <w:b/>
          <w:color w:val="000000"/>
        </w:rPr>
        <w:t>时间和地点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1.全市集中考试时间统一安排在202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年5月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</w:rPr>
        <w:t>—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</w:rPr>
        <w:t>日上午8:30—12:00、下午14:30—17:30。各考点根据工作实际，合理安排每一场次的具体考试时间段，考前向考生公布。</w:t>
      </w:r>
    </w:p>
    <w:p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</w:rPr>
        <w:t>2.市区内社会考生的考试时间安排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</w:rPr>
        <w:t>年5月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</w:rPr>
        <w:t>日14:30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000000"/>
        </w:rPr>
        <w:t>；考试地点：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南宁市第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中学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初中部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（南宁市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人民西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路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云亭街56号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）</w:t>
      </w:r>
      <w:r>
        <w:rPr>
          <w:rFonts w:hint="eastAsia" w:ascii="仿宋_GB2312" w:hAnsi="仿宋_GB2312" w:eastAsia="仿宋_GB2312" w:cs="仿宋_GB2312"/>
          <w:color w:val="000000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考题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于4月23日前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在微信公众号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南宁市第一中学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公布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。</w:t>
      </w:r>
    </w:p>
    <w:p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3.全市缓考时间统一安排在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</w:rPr>
        <w:t>年6月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</w:rPr>
        <w:t>日14:30—17:30。市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教育局直属学校</w:t>
      </w:r>
      <w:r>
        <w:rPr>
          <w:rFonts w:hint="eastAsia" w:ascii="仿宋_GB2312" w:hAnsi="仿宋_GB2312" w:eastAsia="仿宋_GB2312" w:cs="仿宋_GB2312"/>
          <w:color w:val="000000"/>
        </w:rPr>
        <w:t>考生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</w:rPr>
        <w:t>社会考生的缓考地点为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南宁市第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中学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初中部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（南宁市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人民西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路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云亭街56号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），缓考的考题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于5月27日前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在缓考考点学校的微信公众号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南宁市第一中学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公布</w:t>
      </w:r>
      <w:r>
        <w:rPr>
          <w:rFonts w:hint="eastAsia" w:ascii="仿宋_GB2312" w:hAnsi="仿宋_GB2312" w:eastAsia="仿宋_GB2312" w:cs="仿宋_GB2312"/>
          <w:color w:val="000000"/>
        </w:rPr>
        <w:t>；各县（市、区）、开发区的缓考地点由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辖区教育局实验实践考试工作领导小组办公室</w:t>
      </w:r>
      <w:r>
        <w:rPr>
          <w:rFonts w:hint="eastAsia" w:ascii="仿宋_GB2312" w:hAnsi="仿宋_GB2312" w:eastAsia="仿宋_GB2312" w:cs="仿宋_GB2312"/>
          <w:color w:val="000000"/>
        </w:rPr>
        <w:t>安排到具备考点条件的学校进行。</w:t>
      </w:r>
    </w:p>
    <w:p>
      <w:pPr>
        <w:widowControl w:val="0"/>
        <w:ind w:firstLine="640" w:firstLineChars="200"/>
        <w:rPr>
          <w:rFonts w:ascii="黑体" w:hAnsi="Times New Roman" w:eastAsia="黑体"/>
          <w:color w:val="000000"/>
        </w:rPr>
      </w:pPr>
      <w:r>
        <w:rPr>
          <w:rFonts w:hint="eastAsia" w:ascii="黑体" w:hAnsi="Times New Roman" w:eastAsia="黑体"/>
          <w:color w:val="000000"/>
          <w:lang w:val="en-US" w:eastAsia="zh-CN"/>
        </w:rPr>
        <w:t>二</w:t>
      </w:r>
      <w:r>
        <w:rPr>
          <w:rFonts w:hint="eastAsia" w:ascii="黑体" w:hAnsi="Times New Roman" w:eastAsia="黑体"/>
          <w:color w:val="000000"/>
        </w:rPr>
        <w:t>、考试内容和方法</w:t>
      </w:r>
    </w:p>
    <w:p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/>
        </w:rPr>
      </w:pPr>
      <w:r>
        <w:rPr>
          <w:rFonts w:hint="eastAsia" w:ascii="楷体_GB2312" w:hAnsi="楷体_GB2312" w:eastAsia="楷体_GB2312" w:cs="楷体_GB2312"/>
          <w:b/>
          <w:color w:val="000000"/>
        </w:rPr>
        <w:t>（一）考试内容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考试内容为现行初中物理、化学课程标准规定必做的学生实验。根据课程标准要求，进行实验操作考试的命题，命题符合学生应掌握的实验知识点，并规范操作考试的评定标准。全市统一选定12个实验（物理、化学两科各6个实验）作为实验操作考试的试题范围，具体见《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年初中学业水平考试理化实验操作考试试题范围》（附件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color w:val="000000"/>
        </w:rPr>
        <w:t>1）。</w:t>
      </w:r>
    </w:p>
    <w:p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/>
        </w:rPr>
      </w:pPr>
      <w:r>
        <w:rPr>
          <w:rFonts w:hint="eastAsia" w:ascii="楷体_GB2312" w:hAnsi="楷体_GB2312" w:eastAsia="楷体_GB2312" w:cs="楷体_GB2312"/>
          <w:b/>
          <w:color w:val="000000"/>
        </w:rPr>
        <w:t>（二）考试方法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考前由考生从实验试题范围当中，抽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取</w:t>
      </w:r>
      <w:r>
        <w:rPr>
          <w:rFonts w:hint="eastAsia" w:ascii="仿宋_GB2312" w:hAnsi="仿宋_GB2312" w:eastAsia="仿宋_GB2312" w:cs="仿宋_GB2312"/>
          <w:color w:val="000000"/>
        </w:rPr>
        <w:t>1个实验试题，确定为考试试题。考生按照考点的统一安排进入考场座位，在规定的时间内独立完成实验操作考试，监考员当场评定考生的考试结果。</w:t>
      </w:r>
    </w:p>
    <w:p>
      <w:pPr>
        <w:widowControl w:val="0"/>
        <w:ind w:firstLine="640" w:firstLineChars="200"/>
        <w:rPr>
          <w:rFonts w:ascii="黑体" w:hAnsi="Times New Roman" w:eastAsia="黑体"/>
          <w:color w:val="000000"/>
        </w:rPr>
      </w:pPr>
      <w:r>
        <w:rPr>
          <w:rFonts w:hint="eastAsia" w:ascii="黑体" w:hAnsi="Times New Roman" w:eastAsia="黑体"/>
          <w:color w:val="000000"/>
          <w:lang w:val="en-US" w:eastAsia="zh-CN"/>
        </w:rPr>
        <w:t>三</w:t>
      </w:r>
      <w:r>
        <w:rPr>
          <w:rFonts w:hint="eastAsia" w:ascii="黑体" w:hAnsi="Times New Roman" w:eastAsia="黑体"/>
          <w:color w:val="000000"/>
        </w:rPr>
        <w:t>、考试实施和要求</w:t>
      </w:r>
    </w:p>
    <w:p>
      <w:pPr>
        <w:widowControl w:val="0"/>
        <w:ind w:firstLine="646" w:firstLineChars="201"/>
        <w:jc w:val="left"/>
        <w:rPr>
          <w:rFonts w:hint="eastAsia" w:ascii="仿宋_GB2312" w:hAnsi="仿宋_GB2312" w:eastAsia="仿宋_GB2312" w:cs="仿宋_GB2312"/>
          <w:color w:val="00000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.时间。</w:t>
      </w:r>
      <w:r>
        <w:rPr>
          <w:rFonts w:hint="eastAsia" w:ascii="仿宋_GB2312" w:hAnsi="仿宋_GB2312" w:eastAsia="仿宋_GB2312" w:cs="仿宋_GB2312"/>
          <w:color w:val="000000"/>
        </w:rPr>
        <w:t>每一场实验操作考试时间为20分钟，前后各有5分钟为发卷、收卷时间。学生答题卷见《南宁市202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年初中学业水平考试理化实验操作考试知识要点及评定记录（学生用）》（附件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color w:val="000000"/>
        </w:rPr>
        <w:t>）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。</w:t>
      </w:r>
    </w:p>
    <w:p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.结果评定。</w:t>
      </w:r>
      <w:r>
        <w:rPr>
          <w:rFonts w:hint="eastAsia" w:ascii="仿宋_GB2312" w:hAnsi="仿宋_GB2312" w:eastAsia="仿宋_GB2312" w:cs="仿宋_GB2312"/>
          <w:color w:val="000000"/>
        </w:rPr>
        <w:t>监考员当场评定考生的操作考试结果，分合格、不合格两个等级。</w:t>
      </w:r>
    </w:p>
    <w:p>
      <w:pPr>
        <w:widowControl w:val="0"/>
        <w:ind w:firstLine="646" w:firstLineChars="201"/>
        <w:jc w:val="left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3.纪律。</w:t>
      </w:r>
      <w:r>
        <w:rPr>
          <w:rFonts w:hint="eastAsia" w:ascii="仿宋_GB2312" w:hAnsi="仿宋_GB2312" w:eastAsia="仿宋_GB2312" w:cs="仿宋_GB2312"/>
          <w:color w:val="000000"/>
        </w:rPr>
        <w:t>考生进入考场，必须服从考务工作人员的安排，持准考证入场参加考试。顺序入场、离场。禁止无关人员进入涉考区域。</w:t>
      </w:r>
    </w:p>
    <w:p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.缓考。</w:t>
      </w:r>
      <w:r>
        <w:rPr>
          <w:rFonts w:hint="eastAsia" w:ascii="仿宋_GB2312" w:hAnsi="仿宋_GB2312" w:eastAsia="仿宋_GB2312" w:cs="仿宋_GB2312"/>
          <w:color w:val="000000"/>
        </w:rPr>
        <w:t>考生因伤、病或其他特殊原因不能参加202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年5月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</w:rPr>
        <w:t>—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</w:rPr>
        <w:t>日集中考试的，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000000"/>
        </w:rPr>
        <w:t>前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填写并</w:t>
      </w:r>
      <w:r>
        <w:rPr>
          <w:rFonts w:hint="eastAsia" w:ascii="仿宋_GB2312" w:hAnsi="仿宋_GB2312" w:eastAsia="仿宋_GB2312" w:cs="仿宋_GB2312"/>
          <w:color w:val="000000"/>
        </w:rPr>
        <w:t>向学校提交《南宁市202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年初中学业水平考试理化实验操作考试伤、病考生缓考、免考申请表》（附件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1-3</w:t>
      </w:r>
      <w:r>
        <w:rPr>
          <w:rFonts w:hint="eastAsia" w:ascii="仿宋_GB2312" w:hAnsi="仿宋_GB2312" w:eastAsia="仿宋_GB2312" w:cs="仿宋_GB2312"/>
          <w:color w:val="000000"/>
        </w:rPr>
        <w:t>）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</w:rPr>
        <w:t>提供病历或疾病证明等相关材料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一式两份（一份学校留存，一份交辖区实验实践考试工作领导小组办公室）</w:t>
      </w:r>
      <w:r>
        <w:rPr>
          <w:rFonts w:hint="eastAsia" w:ascii="仿宋_GB2312" w:hAnsi="仿宋_GB2312" w:eastAsia="仿宋_GB2312" w:cs="仿宋_GB2312"/>
          <w:color w:val="000000"/>
        </w:rPr>
        <w:t>。学校审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color w:val="000000"/>
        </w:rPr>
        <w:t>同意后加盖学校公章于4月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</w:rPr>
        <w:t>日前按属地上报辖区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实验实践考试工作领导小组办公室</w:t>
      </w:r>
      <w:r>
        <w:rPr>
          <w:rFonts w:hint="eastAsia" w:ascii="仿宋_GB2312" w:hAnsi="仿宋_GB2312" w:eastAsia="仿宋_GB2312" w:cs="仿宋_GB2312"/>
          <w:color w:val="000000"/>
        </w:rPr>
        <w:t>，经同意后，可参加缓考一次。</w:t>
      </w:r>
    </w:p>
    <w:p>
      <w:pPr>
        <w:widowControl w:val="0"/>
        <w:ind w:firstLine="643" w:firstLineChars="200"/>
        <w:rPr>
          <w:rFonts w:hint="default" w:ascii="仿宋_GB2312" w:hAnsi="仿宋_GB2312" w:eastAsia="仿宋_GB2312" w:cs="仿宋_GB2312"/>
          <w:color w:val="00000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.免考。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因伤、病导致肢体功能障碍，丧失上肢运动能力或上肢协调性不正常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等特殊情况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，导致不能正常操作实验的考生，可以申请免考</w:t>
      </w:r>
      <w:r>
        <w:rPr>
          <w:rFonts w:hint="eastAsia" w:ascii="仿宋_GB2312" w:hAnsi="仿宋_GB2312" w:eastAsia="仿宋_GB2312" w:cs="仿宋_GB2312"/>
          <w:color w:val="000000"/>
        </w:rPr>
        <w:t>。申请免考的考生需填写《南宁市202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年初中学业水平考试理化实验操作考试伤、病考生缓考、免考申请表》（附件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1-3</w:t>
      </w:r>
      <w:r>
        <w:rPr>
          <w:rFonts w:hint="eastAsia" w:ascii="仿宋_GB2312" w:hAnsi="仿宋_GB2312" w:eastAsia="仿宋_GB2312" w:cs="仿宋_GB2312"/>
          <w:color w:val="000000"/>
        </w:rPr>
        <w:t>）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</w:rPr>
        <w:t>提供县（市、区）、开发区级或以上医院疾病证明材料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或县级以上残疾认定机构发放的残疾证复印件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一式两份（一份学校留存，一份交辖区实验实践考试工作领导小组办公室），交到</w:t>
      </w:r>
      <w:r>
        <w:rPr>
          <w:rFonts w:hint="eastAsia" w:ascii="仿宋_GB2312" w:hAnsi="仿宋_GB2312" w:eastAsia="仿宋_GB2312" w:cs="仿宋_GB2312"/>
          <w:color w:val="000000"/>
        </w:rPr>
        <w:t>学校审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核并签署意见</w:t>
      </w:r>
      <w:r>
        <w:rPr>
          <w:rFonts w:hint="eastAsia" w:ascii="仿宋_GB2312" w:hAnsi="仿宋_GB2312" w:eastAsia="仿宋_GB2312" w:cs="仿宋_GB2312"/>
          <w:color w:val="000000"/>
        </w:rPr>
        <w:t>后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</w:rPr>
        <w:t>加盖学校公章于4月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</w:rPr>
        <w:t>日前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报送辖区实验实践考试工作领导小组</w:t>
      </w:r>
      <w:r>
        <w:rPr>
          <w:rFonts w:hint="eastAsia" w:ascii="仿宋_GB2312" w:hAnsi="仿宋_GB2312" w:eastAsia="仿宋_GB2312" w:cs="仿宋_GB2312"/>
          <w:color w:val="000000"/>
        </w:rPr>
        <w:t>办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公室</w:t>
      </w:r>
      <w:r>
        <w:rPr>
          <w:rFonts w:hint="eastAsia" w:ascii="仿宋_GB2312" w:hAnsi="仿宋_GB2312" w:eastAsia="仿宋_GB2312" w:cs="仿宋_GB2312"/>
          <w:color w:val="000000"/>
        </w:rPr>
        <w:t>，经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辖区教育局审核</w:t>
      </w:r>
      <w:r>
        <w:rPr>
          <w:rFonts w:hint="eastAsia" w:ascii="仿宋_GB2312" w:hAnsi="仿宋_GB2312" w:eastAsia="仿宋_GB2312" w:cs="仿宋_GB2312"/>
          <w:color w:val="000000"/>
        </w:rPr>
        <w:t>，符合免考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条件</w:t>
      </w:r>
      <w:r>
        <w:rPr>
          <w:rFonts w:hint="eastAsia" w:ascii="仿宋_GB2312" w:hAnsi="仿宋_GB2312" w:eastAsia="仿宋_GB2312" w:cs="仿宋_GB2312"/>
          <w:color w:val="000000"/>
        </w:rPr>
        <w:t>的考生成绩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由辖区教育局中招办</w:t>
      </w:r>
      <w:r>
        <w:rPr>
          <w:rFonts w:hint="eastAsia" w:ascii="仿宋_GB2312" w:hAnsi="仿宋_GB2312" w:eastAsia="仿宋_GB2312" w:cs="仿宋_GB2312"/>
          <w:color w:val="000000"/>
        </w:rPr>
        <w:t>认定为合格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不符合免考条件</w:t>
      </w:r>
      <w:r>
        <w:rPr>
          <w:rFonts w:hint="eastAsia" w:ascii="仿宋_GB2312" w:hAnsi="仿宋_GB2312" w:eastAsia="仿宋_GB2312" w:cs="仿宋_GB2312"/>
          <w:color w:val="000000"/>
        </w:rPr>
        <w:t>的考生</w:t>
      </w:r>
      <w:r>
        <w:rPr>
          <w:rFonts w:hint="eastAsia" w:ascii="仿宋_GB2312" w:hAnsi="仿宋_GB2312" w:eastAsia="仿宋_GB2312" w:cs="仿宋_GB2312"/>
          <w:color w:val="000000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将安排于6月2日参加辖区组织的缓考。</w:t>
      </w:r>
    </w:p>
    <w:p>
      <w:pPr>
        <w:widowControl w:val="0"/>
        <w:ind w:firstLine="640" w:firstLineChars="200"/>
        <w:rPr>
          <w:rFonts w:hint="eastAsia" w:ascii="黑体" w:hAnsi="Times New Roman" w:eastAsia="黑体" w:cs="Times New Roman"/>
          <w:color w:val="000000"/>
        </w:rPr>
      </w:pPr>
      <w:r>
        <w:rPr>
          <w:rFonts w:hint="eastAsia" w:ascii="黑体" w:hAnsi="Times New Roman" w:eastAsia="黑体" w:cs="Times New Roman"/>
          <w:color w:val="000000"/>
          <w:lang w:val="en-US" w:eastAsia="zh-CN"/>
        </w:rPr>
        <w:t>四</w:t>
      </w:r>
      <w:r>
        <w:rPr>
          <w:rFonts w:hint="eastAsia" w:ascii="黑体" w:hAnsi="Times New Roman" w:eastAsia="黑体" w:cs="Times New Roman"/>
          <w:color w:val="000000"/>
        </w:rPr>
        <w:t>、成绩的应用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参加202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年初中学业水平考试的学生，必须参加理化实验操作考试。考试成绩分为合格和不合格两个等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</w:rPr>
        <w:t>，成绩合格者才能报读自治区示范性普通高中。</w:t>
      </w:r>
    </w:p>
    <w:p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未尽事宜，请与市实验实践考试工作领导小组办公室联系。</w:t>
      </w:r>
      <w:r>
        <w:rPr>
          <w:rFonts w:hint="eastAsia" w:ascii="仿宋_GB2312" w:hAnsi="仿宋_GB2312" w:eastAsia="仿宋_GB2312" w:cs="仿宋_GB2312"/>
          <w:color w:val="000000"/>
        </w:rPr>
        <w:t>联系人及电话：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甘宁</w:t>
      </w:r>
      <w:r>
        <w:rPr>
          <w:rFonts w:hint="eastAsia" w:ascii="仿宋_GB2312" w:hAnsi="仿宋_GB2312" w:eastAsia="仿宋_GB2312" w:cs="仿宋_GB2312"/>
          <w:color w:val="000000"/>
        </w:rPr>
        <w:t>，0771-3863955。</w:t>
      </w:r>
    </w:p>
    <w:p>
      <w:pPr>
        <w:bidi w:val="0"/>
        <w:rPr>
          <w:rFonts w:hint="eastAsia"/>
          <w:color w:val="000000"/>
        </w:rPr>
      </w:pPr>
    </w:p>
    <w:p>
      <w:pPr>
        <w:widowControl w:val="0"/>
        <w:ind w:left="1920" w:leftChars="200" w:hanging="1280" w:hangingChars="4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附件：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color w:val="000000"/>
        </w:rPr>
        <w:t>1.南宁市202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年初中学业水平考试理化实验操作考试试题范围</w:t>
      </w:r>
    </w:p>
    <w:p>
      <w:pPr>
        <w:widowControl w:val="0"/>
        <w:ind w:left="1920" w:leftChars="500" w:hanging="320" w:hangingChars="1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color w:val="000000"/>
        </w:rPr>
        <w:t>.南宁市202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年初中学业水平考试理化实验操作考试知识要点及评定记录（学生用）</w:t>
      </w:r>
    </w:p>
    <w:p>
      <w:pPr>
        <w:widowControl w:val="0"/>
        <w:ind w:left="1920" w:leftChars="500" w:hanging="320" w:hangingChars="1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1-3</w:t>
      </w:r>
      <w:r>
        <w:rPr>
          <w:rFonts w:hint="eastAsia" w:ascii="仿宋_GB2312" w:hAnsi="仿宋_GB2312" w:eastAsia="仿宋_GB2312" w:cs="仿宋_GB2312"/>
          <w:color w:val="000000"/>
        </w:rPr>
        <w:t>.南宁市202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</w:rPr>
        <w:t>年初中学业水平考试理化实验操作考试伤、病考生缓考、免考申请表</w:t>
      </w:r>
    </w:p>
    <w:p>
      <w:pPr>
        <w:widowControl w:val="0"/>
        <w:ind w:firstLine="1600" w:firstLineChars="5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1-4</w:t>
      </w:r>
      <w:r>
        <w:rPr>
          <w:rFonts w:hint="eastAsia" w:ascii="仿宋_GB2312" w:hAnsi="仿宋_GB2312" w:eastAsia="仿宋_GB2312" w:cs="仿宋_GB2312"/>
          <w:color w:val="000000"/>
        </w:rPr>
        <w:t>.理化实验操作考试考生须知</w:t>
      </w:r>
    </w:p>
    <w:p>
      <w:pPr>
        <w:rPr>
          <w:rFonts w:hAnsi="Times New Roman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br w:type="page"/>
      </w:r>
      <w:r>
        <w:rPr>
          <w:rFonts w:hint="eastAsia" w:ascii="仿宋_GB2312" w:hAnsi="仿宋_GB2312" w:eastAsia="仿宋_GB2312" w:cs="仿宋_GB2312"/>
          <w:color w:val="000000"/>
        </w:rPr>
        <w:t>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color w:val="000000"/>
        </w:rPr>
        <w:t>1</w:t>
      </w:r>
    </w:p>
    <w:p>
      <w:pPr>
        <w:ind w:firstLine="640" w:firstLineChars="200"/>
        <w:rPr>
          <w:color w:val="000000"/>
        </w:rPr>
      </w:pP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南宁市202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年初中学业水平考试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理化实验操作考试试题范围</w:t>
      </w:r>
    </w:p>
    <w:p>
      <w:pPr>
        <w:ind w:firstLine="640" w:firstLineChars="200"/>
        <w:rPr>
          <w:rFonts w:ascii="宋体" w:hAnsi="宋体" w:cs="宋体"/>
          <w:color w:val="000000"/>
        </w:rPr>
      </w:pPr>
    </w:p>
    <w:p>
      <w:pPr>
        <w:ind w:firstLine="640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一、物理部分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1.观察水的沸腾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2.探究平面镜成像的规律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3.用电压表和电流表测电阻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4.测量小灯泡的电功率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5.测量形状不规则物块的密度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6.测量滑轮组的机械效率</w:t>
      </w:r>
    </w:p>
    <w:p>
      <w:pPr>
        <w:ind w:firstLine="640" w:firstLineChars="200"/>
        <w:rPr>
          <w:rFonts w:hAnsi="Times New Roman"/>
          <w:color w:val="000000"/>
        </w:rPr>
      </w:pPr>
    </w:p>
    <w:p>
      <w:pPr>
        <w:ind w:firstLine="640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二、化学部分</w:t>
      </w:r>
    </w:p>
    <w:p>
      <w:pPr>
        <w:ind w:firstLine="646" w:firstLineChars="202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1.粗盐中难溶性杂质的去除</w:t>
      </w:r>
    </w:p>
    <w:p>
      <w:pPr>
        <w:ind w:firstLine="646" w:firstLineChars="202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2.酸和碱的中和反应</w:t>
      </w:r>
    </w:p>
    <w:p>
      <w:pPr>
        <w:ind w:firstLine="646" w:firstLineChars="202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3.二氧化碳的制取和验满</w:t>
      </w:r>
    </w:p>
    <w:p>
      <w:pPr>
        <w:ind w:firstLine="646" w:firstLineChars="202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4.碱部分化学性质的实验</w:t>
      </w:r>
    </w:p>
    <w:p>
      <w:pPr>
        <w:ind w:firstLine="646" w:firstLineChars="202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5.盐部分化学性质的实验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6.配制50g质量分数为6％的氯化钠溶液</w:t>
      </w:r>
    </w:p>
    <w:p>
      <w:pPr>
        <w:rPr>
          <w:rFonts w:hint="eastAsia" w:ascii="仿宋_GB2312" w:hAnsi="仿宋_GB2312" w:eastAsia="仿宋_GB2312" w:cs="仿宋_GB2312"/>
          <w:bCs/>
          <w:color w:val="000000"/>
          <w:lang w:eastAsia="zh-CN"/>
        </w:rPr>
      </w:pPr>
      <w:r>
        <w:rPr>
          <w:rFonts w:hAnsi="Times New Roman"/>
          <w:color w:val="000000"/>
        </w:rPr>
        <w:br w:type="page"/>
      </w:r>
      <w:r>
        <w:rPr>
          <w:rFonts w:hint="eastAsia" w:ascii="仿宋_GB2312" w:hAnsi="仿宋_GB2312" w:eastAsia="仿宋_GB2312" w:cs="仿宋_GB2312"/>
          <w:bCs/>
          <w:color w:val="000000"/>
        </w:rPr>
        <w:t>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bCs/>
          <w:color w:val="000000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南宁市202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spacing w:line="520" w:lineRule="exact"/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4975860</wp:posOffset>
                </wp:positionH>
                <wp:positionV relativeFrom="paragraph">
                  <wp:posOffset>100965</wp:posOffset>
                </wp:positionV>
                <wp:extent cx="868680" cy="730885"/>
                <wp:effectExtent l="0" t="0" r="5715" b="3175"/>
                <wp:wrapNone/>
                <wp:docPr id="5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73" o:spid="_x0000_s1026" o:spt="202" type="#_x0000_t202" style="position:absolute;left:0pt;margin-left:391.8pt;margin-top:7.95pt;height:57.55pt;width:68.4pt;z-index:251661312;mso-width-relative:page;mso-height-relative:page;" fillcolor="#FFFFFF" filled="t" stroked="f" coordsize="21600,21600" o:gfxdata="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UtMdbZAAAACgEAAA8AAAAAAAAAAQAgAAAAIgAAAGRycy9kb3ducmV2LnhtbFBLAQIUABQAAAAI&#10;AIdO4kA5gL8e7AEAAM4DAAAOAAAAAAAAAAEAIAAAACgBAABkcnMvZTJvRG9jLnhtbFBLBQYAAAAA&#10;BgAGAFkBAACG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ind w:left="0" w:leftChars="0" w:firstLine="0" w:firstLineChars="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课题1：观察水的沸腾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实验记录：                                温度/℃</w:t>
      </w:r>
    </w:p>
    <w:tbl>
      <w:tblPr>
        <w:tblStyle w:val="12"/>
        <w:tblW w:w="0" w:type="auto"/>
        <w:tblInd w:w="5395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</w:tbl>
    <w:p>
      <w:pPr>
        <w:ind w:left="8160" w:hanging="8160" w:hangingChars="34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                                             时间/min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904"/>
        </w:rPr>
        <w:t>实验结论：</w:t>
      </w:r>
      <w:r>
        <w:rPr>
          <w:rFonts w:hint="eastAsia"/>
          <w:color w:val="000000"/>
          <w:sz w:val="24"/>
        </w:rPr>
        <w:t>水的沸点为</w:t>
      </w:r>
      <w:r>
        <w:rPr>
          <w:rFonts w:hint="eastAsia"/>
          <w:color w:val="000000"/>
          <w:sz w:val="24"/>
          <w:u w:val="single"/>
        </w:rPr>
        <w:t xml:space="preserve">                        </w:t>
      </w:r>
      <w:r>
        <w:rPr>
          <w:rFonts w:hint="eastAsia"/>
          <w:color w:val="000000"/>
          <w:sz w:val="24"/>
        </w:rPr>
        <w:t>。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04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86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考查操作要点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正确选择仪器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能按实验要求完成实验装置的组装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能正确使用酒精灯进行加热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能正确使用温度计测量水的温度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能设计实验记录表格，并正确记录数据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能根据实验记录数据，描绘出水加热至沸腾过程中温度和时间关系的曲线，并得出水的沸点。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能自行排除实验故障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实验习惯</w:t>
            </w:r>
          </w:p>
        </w:tc>
        <w:tc>
          <w:tcPr>
            <w:tcW w:w="26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spacing w:line="432" w:lineRule="auto"/>
        <w:rPr>
          <w:rFonts w:hint="eastAsia"/>
          <w:color w:val="000000"/>
          <w:kern w:val="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9019903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9019903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9019902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9019902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9019901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9019901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4951095</wp:posOffset>
                </wp:positionH>
                <wp:positionV relativeFrom="paragraph">
                  <wp:posOffset>109855</wp:posOffset>
                </wp:positionV>
                <wp:extent cx="868680" cy="730885"/>
                <wp:effectExtent l="0" t="0" r="5715" b="3175"/>
                <wp:wrapNone/>
                <wp:docPr id="6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4" o:spid="_x0000_s1026" o:spt="202" type="#_x0000_t202" style="position:absolute;left:0pt;margin-left:389.85pt;margin-top:8.65pt;height:57.55pt;width:68.4pt;z-index:251662336;mso-width-relative:page;mso-height-relative:page;" fillcolor="#FFFFFF" filled="t" stroked="f" coordsize="21600,21600" o:gfxdata="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BbNNrtkAAAAKAQAADwAAAAAAAAAB&#10;ACAAAAAiAAAAZHJzL2Rvd25yZXYueG1sUEsBAhQAFAAAAAgAh07iQHztMCv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课题2：探究平面镜成像的规律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实验记录：                                   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rFonts w:hint="eastAsia"/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360" w:lineRule="auto"/>
        <w:jc w:val="left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900"/>
        </w:rPr>
        <w:t>实验结论：</w:t>
      </w:r>
      <w:r>
        <w:rPr>
          <w:rFonts w:hint="eastAsia"/>
          <w:color w:val="000000"/>
          <w:sz w:val="24"/>
        </w:rPr>
        <w:t xml:space="preserve"> 1.平面镜成像的规律是</w:t>
      </w:r>
      <w:r>
        <w:rPr>
          <w:rFonts w:hint="eastAsia"/>
          <w:color w:val="000000"/>
          <w:sz w:val="24"/>
          <w:u w:val="single"/>
        </w:rPr>
        <w:t xml:space="preserve">                                      </w:t>
      </w:r>
      <w:r>
        <w:rPr>
          <w:rFonts w:hint="eastAsia"/>
          <w:color w:val="000000"/>
          <w:sz w:val="24"/>
        </w:rPr>
        <w:t>，</w:t>
      </w:r>
    </w:p>
    <w:p>
      <w:pPr>
        <w:spacing w:line="360" w:lineRule="auto"/>
        <w:ind w:firstLine="1680" w:firstLineChars="7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</w:t>
      </w:r>
      <w:r>
        <w:rPr>
          <w:rFonts w:hint="eastAsia"/>
          <w:color w:val="000000"/>
          <w:sz w:val="24"/>
          <w:u w:val="single"/>
        </w:rPr>
        <w:t xml:space="preserve">                                                 </w:t>
      </w:r>
      <w:r>
        <w:rPr>
          <w:rFonts w:hint="eastAsia"/>
          <w:color w:val="000000"/>
          <w:sz w:val="24"/>
        </w:rPr>
        <w:t>。</w:t>
      </w: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2.平面镜所成的像是</w:t>
      </w:r>
      <w:r>
        <w:rPr>
          <w:rFonts w:hint="eastAsia"/>
          <w:color w:val="000000"/>
          <w:sz w:val="24"/>
          <w:u w:val="single"/>
        </w:rPr>
        <w:t xml:space="preserve">                       </w:t>
      </w:r>
      <w:r>
        <w:rPr>
          <w:rFonts w:hint="eastAsia"/>
          <w:color w:val="000000"/>
          <w:sz w:val="24"/>
        </w:rPr>
        <w:t>。</w:t>
      </w: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考查操作要点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正确选择仪器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能按实验要求完成实验装置的组装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能根据实验要求确定物和像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能正确测出物距和像距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能设计实验记录表格，并正确记录实验数据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能描述平面镜成像的规律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7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能自行排除实验故障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实验习惯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spacing w:line="240" w:lineRule="atLeast"/>
              <w:rPr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注意：</w:t>
      </w:r>
      <w:r>
        <w:rPr>
          <w:rFonts w:hint="eastAsia"/>
          <w:color w:val="000000"/>
          <w:sz w:val="24"/>
        </w:rPr>
        <w:t>本实验要求做两次以上。</w:t>
      </w:r>
    </w:p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704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704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adjustRightInd w:val="0"/>
        <w:snapToGrid w:val="0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703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703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702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702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116840</wp:posOffset>
                </wp:positionV>
                <wp:extent cx="868680" cy="730885"/>
                <wp:effectExtent l="0" t="0" r="5715" b="3175"/>
                <wp:wrapNone/>
                <wp:docPr id="7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90.5pt;margin-top:9.2pt;height:57.55pt;width:68.4pt;z-index:251663360;mso-width-relative:page;mso-height-relative:page;" fillcolor="#FFFFFF" filled="t" stroked="f" coordsize="21600,21600" o:gfxdata="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dzqTTNkAAAAKAQAADwAAAAAA&#10;AAABACAAAAAiAAAAZHJzL2Rvd25yZXYueG1sUEsBAhQAFAAAAAgAh07iQAA7lhXZAQAAqQMAAA4A&#10;AAAAAAAAAQAgAAAAKAEAAGRycy9lMm9Eb2MueG1sUEsFBgAAAAAGAAYAWQEAAH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课题3：用电压表和电流表测电阻</w:t>
      </w:r>
      <w:r>
        <w:rPr>
          <w:rFonts w:hint="eastAsia"/>
          <w:color w:val="000000"/>
          <w:sz w:val="24"/>
        </w:rPr>
        <w:t xml:space="preserve"> 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实验记录：                               实验电路：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896"/>
        </w:rPr>
        <w:t>实验结论：</w:t>
      </w:r>
      <w:r>
        <w:rPr>
          <w:rFonts w:hint="eastAsia"/>
          <w:color w:val="000000"/>
          <w:sz w:val="24"/>
        </w:rPr>
        <w:t>被测电阻的阻值为</w:t>
      </w:r>
      <w:r>
        <w:rPr>
          <w:rFonts w:hint="eastAsia"/>
          <w:color w:val="000000"/>
          <w:sz w:val="24"/>
          <w:u w:val="single"/>
        </w:rPr>
        <w:t xml:space="preserve">                                      </w:t>
      </w:r>
      <w:r>
        <w:rPr>
          <w:rFonts w:hint="eastAsia"/>
          <w:color w:val="000000"/>
          <w:sz w:val="24"/>
        </w:rPr>
        <w:t>。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考查操作要点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正确选择仪器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能正确画出实验电路图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能按实验电路图正确进行电路连接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8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懂得如何控制电阻两端的电压和电流，并测出电压不同时的三组数据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能设计实验记录表格，并正确记录数据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能根据实验数据正确计算出电阻的阻值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能自行排除实验故障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实验习惯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</w:tr>
    </w:tbl>
    <w:p>
      <w:pPr>
        <w:rPr>
          <w:color w:val="00000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448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448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447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447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446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446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109855</wp:posOffset>
                </wp:positionV>
                <wp:extent cx="868680" cy="730885"/>
                <wp:effectExtent l="0" t="0" r="5715" b="3175"/>
                <wp:wrapNone/>
                <wp:docPr id="8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6" o:spid="_x0000_s1026" o:spt="202" type="#_x0000_t202" style="position:absolute;left:0pt;margin-left:390.5pt;margin-top:8.65pt;height:57.55pt;width:68.4pt;z-index:251664384;mso-width-relative:page;mso-height-relative:page;" fillcolor="#FFFFFF" filled="t" stroked="f" coordsize="21600,21600" o:gfxdata="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O8da9kAAAAKAQAADwAAAAAAAAAB&#10;ACAAAAAiAAAAZHJzL2Rvd25yZXYueG1sUEsBAhQAFAAAAAgAh07iQP11kpL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课题4：测量小灯泡的电功率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实验记录：                                   实验电路：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rFonts w:hint="eastAsia"/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892"/>
        </w:rPr>
        <w:t>实验结论：</w:t>
      </w:r>
      <w:r>
        <w:rPr>
          <w:rFonts w:hint="eastAsia"/>
          <w:color w:val="000000"/>
          <w:sz w:val="24"/>
        </w:rPr>
        <w:t>当U</w:t>
      </w:r>
      <w:r>
        <w:rPr>
          <w:rFonts w:hint="eastAsia"/>
          <w:color w:val="000000"/>
          <w:sz w:val="24"/>
          <w:vertAlign w:val="subscript"/>
        </w:rPr>
        <w:t>实</w:t>
      </w:r>
      <w:r>
        <w:rPr>
          <w:rFonts w:hint="eastAsia" w:ascii="宋体" w:hAnsi="宋体"/>
          <w:color w:val="000000"/>
          <w:sz w:val="24"/>
        </w:rPr>
        <w:t>&lt;</w:t>
      </w:r>
      <w:r>
        <w:rPr>
          <w:rFonts w:hint="eastAsia"/>
          <w:color w:val="000000"/>
          <w:sz w:val="24"/>
        </w:rPr>
        <w:t>U</w:t>
      </w:r>
      <w:r>
        <w:rPr>
          <w:rFonts w:hint="eastAsia"/>
          <w:color w:val="000000"/>
          <w:sz w:val="24"/>
          <w:vertAlign w:val="subscript"/>
        </w:rPr>
        <w:t>额</w:t>
      </w:r>
      <w:r>
        <w:rPr>
          <w:rFonts w:hint="eastAsia"/>
          <w:color w:val="000000"/>
          <w:sz w:val="24"/>
        </w:rPr>
        <w:t>时，P</w:t>
      </w:r>
      <w:r>
        <w:rPr>
          <w:rFonts w:hint="eastAsia"/>
          <w:color w:val="000000"/>
          <w:sz w:val="24"/>
          <w:vertAlign w:val="subscript"/>
        </w:rPr>
        <w:t>灯</w:t>
      </w:r>
      <w:r>
        <w:rPr>
          <w:rFonts w:hint="eastAsia"/>
          <w:color w:val="000000"/>
          <w:sz w:val="24"/>
        </w:rPr>
        <w:t>=</w:t>
      </w:r>
      <w:r>
        <w:rPr>
          <w:rFonts w:hint="eastAsia"/>
          <w:color w:val="000000"/>
          <w:sz w:val="24"/>
          <w:u w:val="single"/>
        </w:rPr>
        <w:t xml:space="preserve">                      </w:t>
      </w:r>
      <w:r>
        <w:rPr>
          <w:rFonts w:hint="eastAsia"/>
          <w:color w:val="000000"/>
          <w:sz w:val="24"/>
        </w:rPr>
        <w:t>；</w:t>
      </w: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当U</w:t>
      </w:r>
      <w:r>
        <w:rPr>
          <w:rFonts w:hint="eastAsia"/>
          <w:color w:val="000000"/>
          <w:sz w:val="24"/>
          <w:vertAlign w:val="subscript"/>
        </w:rPr>
        <w:t>实</w:t>
      </w:r>
      <w:r>
        <w:rPr>
          <w:rFonts w:hint="eastAsia" w:ascii="宋体" w:hAnsi="宋体"/>
          <w:color w:val="000000"/>
          <w:sz w:val="24"/>
        </w:rPr>
        <w:t>=</w:t>
      </w:r>
      <w:r>
        <w:rPr>
          <w:rFonts w:hint="eastAsia"/>
          <w:color w:val="000000"/>
          <w:sz w:val="24"/>
        </w:rPr>
        <w:t>U</w:t>
      </w:r>
      <w:r>
        <w:rPr>
          <w:rFonts w:hint="eastAsia"/>
          <w:color w:val="000000"/>
          <w:sz w:val="24"/>
          <w:vertAlign w:val="subscript"/>
        </w:rPr>
        <w:t>额</w:t>
      </w:r>
      <w:r>
        <w:rPr>
          <w:rFonts w:hint="eastAsia"/>
          <w:color w:val="000000"/>
          <w:sz w:val="24"/>
        </w:rPr>
        <w:t>时，P</w:t>
      </w:r>
      <w:r>
        <w:rPr>
          <w:rFonts w:hint="eastAsia"/>
          <w:color w:val="000000"/>
          <w:sz w:val="24"/>
          <w:vertAlign w:val="subscript"/>
        </w:rPr>
        <w:t>灯</w:t>
      </w:r>
      <w:r>
        <w:rPr>
          <w:rFonts w:hint="eastAsia"/>
          <w:color w:val="000000"/>
          <w:sz w:val="24"/>
        </w:rPr>
        <w:t>=</w:t>
      </w:r>
      <w:r>
        <w:rPr>
          <w:rFonts w:hint="eastAsia"/>
          <w:color w:val="000000"/>
          <w:sz w:val="24"/>
          <w:u w:val="single"/>
        </w:rPr>
        <w:t xml:space="preserve">                      </w:t>
      </w:r>
      <w:r>
        <w:rPr>
          <w:rFonts w:hint="eastAsia"/>
          <w:color w:val="000000"/>
          <w:sz w:val="24"/>
        </w:rPr>
        <w:t>；</w:t>
      </w: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当U</w:t>
      </w:r>
      <w:r>
        <w:rPr>
          <w:rFonts w:hint="eastAsia"/>
          <w:color w:val="000000"/>
          <w:sz w:val="24"/>
          <w:vertAlign w:val="subscript"/>
        </w:rPr>
        <w:t>实</w:t>
      </w:r>
      <w:r>
        <w:rPr>
          <w:rFonts w:hint="eastAsia" w:ascii="宋体" w:hAnsi="宋体"/>
          <w:color w:val="000000"/>
          <w:sz w:val="24"/>
        </w:rPr>
        <w:t>&gt;</w:t>
      </w:r>
      <w:r>
        <w:rPr>
          <w:rFonts w:hint="eastAsia"/>
          <w:color w:val="000000"/>
          <w:sz w:val="24"/>
        </w:rPr>
        <w:t>U</w:t>
      </w:r>
      <w:r>
        <w:rPr>
          <w:rFonts w:hint="eastAsia"/>
          <w:color w:val="000000"/>
          <w:sz w:val="24"/>
          <w:vertAlign w:val="subscript"/>
        </w:rPr>
        <w:t>额</w:t>
      </w:r>
      <w:r>
        <w:rPr>
          <w:rFonts w:hint="eastAsia"/>
          <w:color w:val="000000"/>
          <w:sz w:val="24"/>
        </w:rPr>
        <w:t>时，P</w:t>
      </w:r>
      <w:r>
        <w:rPr>
          <w:rFonts w:hint="eastAsia"/>
          <w:color w:val="000000"/>
          <w:sz w:val="24"/>
          <w:vertAlign w:val="subscript"/>
        </w:rPr>
        <w:t>灯</w:t>
      </w:r>
      <w:r>
        <w:rPr>
          <w:rFonts w:hint="eastAsia"/>
          <w:color w:val="000000"/>
          <w:sz w:val="24"/>
        </w:rPr>
        <w:t>=</w:t>
      </w:r>
      <w:r>
        <w:rPr>
          <w:rFonts w:hint="eastAsia"/>
          <w:color w:val="000000"/>
          <w:sz w:val="24"/>
          <w:u w:val="single"/>
        </w:rPr>
        <w:t xml:space="preserve">                      </w:t>
      </w:r>
      <w:r>
        <w:rPr>
          <w:rFonts w:hint="eastAsia"/>
          <w:color w:val="000000"/>
          <w:sz w:val="24"/>
        </w:rPr>
        <w:t>。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考查操作要点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正确选择仪器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能按实验要求画出实验电路图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能按实验电路图正确进行电路连接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8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懂得如何控制灯泡的电压，并测出U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实</w:t>
            </w:r>
            <w:r>
              <w:rPr>
                <w:rFonts w:hint="eastAsia" w:ascii="宋体" w:hAnsi="宋体"/>
                <w:color w:val="000000"/>
                <w:sz w:val="24"/>
              </w:rPr>
              <w:t>&lt;</w:t>
            </w:r>
            <w:r>
              <w:rPr>
                <w:rFonts w:hint="eastAsia"/>
                <w:color w:val="000000"/>
                <w:sz w:val="24"/>
              </w:rPr>
              <w:t>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额</w:t>
            </w:r>
            <w:r>
              <w:rPr>
                <w:rFonts w:hint="eastAsia"/>
                <w:color w:val="000000"/>
                <w:sz w:val="24"/>
              </w:rPr>
              <w:t>、U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实</w:t>
            </w:r>
            <w:r>
              <w:rPr>
                <w:rFonts w:hint="eastAsia" w:ascii="宋体" w:hAnsi="宋体"/>
                <w:color w:val="000000"/>
                <w:sz w:val="24"/>
              </w:rPr>
              <w:t>=</w:t>
            </w:r>
            <w:r>
              <w:rPr>
                <w:rFonts w:hint="eastAsia"/>
                <w:color w:val="000000"/>
                <w:sz w:val="24"/>
              </w:rPr>
              <w:t>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额</w:t>
            </w:r>
            <w:r>
              <w:rPr>
                <w:rFonts w:hint="eastAsia"/>
                <w:color w:val="000000"/>
                <w:sz w:val="24"/>
              </w:rPr>
              <w:t>、U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实</w:t>
            </w:r>
            <w:r>
              <w:rPr>
                <w:rFonts w:hint="eastAsia" w:ascii="宋体" w:hAnsi="宋体"/>
                <w:color w:val="000000"/>
                <w:sz w:val="24"/>
              </w:rPr>
              <w:t>&gt;</w:t>
            </w:r>
            <w:r>
              <w:rPr>
                <w:rFonts w:hint="eastAsia"/>
                <w:color w:val="000000"/>
                <w:sz w:val="24"/>
              </w:rPr>
              <w:t>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额</w:t>
            </w:r>
            <w:r>
              <w:rPr>
                <w:rFonts w:hint="eastAsia"/>
                <w:color w:val="000000"/>
                <w:sz w:val="24"/>
              </w:rPr>
              <w:t>（限定在1.2 U</w:t>
            </w:r>
            <w:r>
              <w:rPr>
                <w:rFonts w:hint="eastAsia"/>
                <w:color w:val="000000"/>
                <w:sz w:val="24"/>
                <w:vertAlign w:val="subscript"/>
              </w:rPr>
              <w:t>额</w:t>
            </w:r>
            <w:r>
              <w:rPr>
                <w:rFonts w:hint="eastAsia"/>
                <w:color w:val="000000"/>
                <w:sz w:val="24"/>
              </w:rPr>
              <w:t>以内）时的电压和电流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能设计实验记录表格，并正确记录数据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</w:t>
            </w:r>
          </w:p>
        </w:tc>
        <w:tc>
          <w:tcPr>
            <w:tcW w:w="4853" w:type="dxa"/>
            <w:noWrap w:val="0"/>
            <w:vAlign w:val="top"/>
          </w:tcPr>
          <w:p>
            <w:pPr>
              <w:spacing w:line="28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能根据实验记录数据计算出三种情况下小灯泡的功率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7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能自行排除实验故障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8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实验习惯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445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445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adjustRightInd w:val="0"/>
        <w:snapToGrid w:val="0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444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444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443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443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118110</wp:posOffset>
                </wp:positionV>
                <wp:extent cx="868680" cy="730885"/>
                <wp:effectExtent l="0" t="0" r="5715" b="3175"/>
                <wp:wrapNone/>
                <wp:docPr id="9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7" o:spid="_x0000_s1026" o:spt="202" type="#_x0000_t202" style="position:absolute;left:0pt;margin-left:390.5pt;margin-top:9.3pt;height:57.55pt;width:68.4pt;z-index:251665408;mso-width-relative:page;mso-height-relative:page;" fillcolor="#FFFFFF" filled="t" stroked="f" coordsize="21600,21600" o:gfxdata="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5FLbi2AAAAAoBAAAPAAAAAAAAAAEA&#10;IAAAACIAAABkcnMvZG93bnJldi54bWxQSwECFAAUAAAACACHTuJAgaM0rNYBAACpAwAADgAAAAAA&#10;AAABACAAAAAnAQAAZHJzL2Uyb0RvYy54bWxQSwUGAAAAAAYABgBZAQAAb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课题5：测量形状不规则物块的密度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实验记录：     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888"/>
        </w:rPr>
        <w:t>实验结论：</w:t>
      </w:r>
      <w:r>
        <w:rPr>
          <w:rFonts w:hint="eastAsia"/>
          <w:color w:val="000000"/>
          <w:sz w:val="24"/>
        </w:rPr>
        <w:t>物块的密度为____________________________________。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考查操作要点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正确选择仪器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能完成天平的调节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会利用天平测出物块的质量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懂得使用量筒测出物块的体积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能设计实验记录表格，并正确记录数据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能根据实验数据正确计算出物块的密度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能自行排除实验故障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4853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实验习惯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rPr>
          <w:color w:val="00000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442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442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441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441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440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440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101600</wp:posOffset>
                </wp:positionV>
                <wp:extent cx="868680" cy="730885"/>
                <wp:effectExtent l="0" t="0" r="5715" b="3175"/>
                <wp:wrapNone/>
                <wp:docPr id="10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8" o:spid="_x0000_s1026" o:spt="202" type="#_x0000_t202" style="position:absolute;left:0pt;margin-left:390.5pt;margin-top:8pt;height:57.55pt;width:68.4pt;z-index:251666432;mso-width-relative:page;mso-height-relative:page;" fillcolor="#FFFFFF" filled="t" stroked="f" coordsize="21600,21600" o:gfxdata="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+7dct2AAAAAoBAAAPAAAAAAAAAAEA&#10;IAAAACIAAABkcnMvZG93bnJldi54bWxQSwECFAAUAAAACACHTuJA0d22L9YBAACqAwAADgAAAAAA&#10;AAABACAAAAAnAQAAZHJzL2Uyb0RvYy54bWxQSwUGAAAAAAYABgBZAQAAb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物理科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课题6：测量滑轮组的机械效率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实验记录：     </w: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rFonts w:hint="eastAsia"/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0"/>
          <w:kern w:val="0"/>
          <w:sz w:val="24"/>
          <w:fitText w:val="1200" w:id="-1269019901"/>
        </w:rPr>
        <w:t>实验结论：</w:t>
      </w:r>
      <w:r>
        <w:rPr>
          <w:rFonts w:hint="eastAsia"/>
          <w:color w:val="000000"/>
          <w:sz w:val="24"/>
        </w:rPr>
        <w:t>滑轮组的机械效率</w:t>
      </w:r>
      <w:r>
        <w:rPr>
          <w:rFonts w:hint="eastAsia" w:ascii="宋体" w:hAnsi="宋体"/>
          <w:color w:val="000000"/>
          <w:sz w:val="24"/>
        </w:rPr>
        <w:t>η</w:t>
      </w:r>
      <w:r>
        <w:rPr>
          <w:rFonts w:hint="eastAsia"/>
          <w:color w:val="000000"/>
          <w:sz w:val="24"/>
        </w:rPr>
        <w:t>= ____________________________________。</w:t>
      </w: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>完成操作情况评定表：（完成5个评分要点以上的为合格，否则为不合格）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22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8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考查操作要点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操作情况记录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正确选择仪器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能正确完成实验装置的组装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会利用弹簧测力计测量钩码的重力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能利用弹簧测力计测出拉力的大小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会利用刻度尺测出钩码上升的高度和绳端移动的距离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spacing w:line="28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能设计实验记录表格，正确记录数据，并计算出滑轮组的机械效率</w:t>
            </w:r>
          </w:p>
        </w:tc>
        <w:tc>
          <w:tcPr>
            <w:tcW w:w="2654" w:type="dxa"/>
            <w:noWrap w:val="0"/>
            <w:vAlign w:val="top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能自行排除实验故障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实验习惯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192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192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191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191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rPr>
          <w:color w:val="000000"/>
          <w:sz w:val="2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190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190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134620</wp:posOffset>
                </wp:positionV>
                <wp:extent cx="868680" cy="730885"/>
                <wp:effectExtent l="0" t="0" r="5715" b="3175"/>
                <wp:wrapNone/>
                <wp:docPr id="11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90.5pt;margin-top:10.6pt;height:57.55pt;width:68.4pt;z-index:251667456;mso-width-relative:page;mso-height-relative:page;" fillcolor="#FFFFFF" filled="t" stroked="f" coordsize="21600,21600" o:gfxdata="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SEdafZAAAACgEAAA8AAAAAAAAA&#10;AQAgAAAAIgAAAGRycy9kb3ducmV2LnhtbFBLAQIUABQAAAAIAIdO4kCtCxAR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lang w:val="zh-CN"/>
        </w:rPr>
        <w:t>课题</w:t>
      </w:r>
      <w:r>
        <w:rPr>
          <w:rFonts w:hint="eastAsia" w:ascii="宋体" w:hAnsi="宋体"/>
          <w:b/>
          <w:bCs/>
          <w:color w:val="000000"/>
          <w:kern w:val="0"/>
        </w:rPr>
        <w:t>1</w:t>
      </w:r>
      <w:r>
        <w:rPr>
          <w:rFonts w:hint="eastAsia" w:ascii="宋体" w:hAnsi="宋体" w:cs="宋体"/>
          <w:b/>
          <w:bCs/>
          <w:color w:val="000000"/>
          <w:kern w:val="0"/>
          <w:lang w:val="zh-CN"/>
        </w:rPr>
        <w:t>：</w:t>
      </w:r>
      <w:r>
        <w:rPr>
          <w:rFonts w:hint="eastAsia" w:ascii="宋体" w:hAnsi="宋体"/>
          <w:b/>
          <w:bCs/>
          <w:color w:val="000000"/>
          <w:szCs w:val="21"/>
        </w:rPr>
        <w:t>粗盐中难溶性杂质的去除</w:t>
      </w:r>
    </w:p>
    <w:p>
      <w:pPr>
        <w:autoSpaceDE w:val="0"/>
        <w:autoSpaceDN w:val="0"/>
        <w:adjustRightInd w:val="0"/>
        <w:jc w:val="left"/>
        <w:rPr>
          <w:rFonts w:ascii="宋体"/>
          <w:b/>
          <w:bCs/>
          <w:color w:val="000000"/>
          <w:kern w:val="0"/>
          <w:szCs w:val="21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实验报告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840" w:firstLineChars="400"/>
              <w:jc w:val="lef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  验    内    容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称量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用托盘天平称量2g粗盐，将粗盐倒入干净的小烧杯中。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</w:t>
            </w:r>
            <w:r>
              <w:rPr>
                <w:rFonts w:hint="eastAsia"/>
                <w:color w:val="000000"/>
                <w:sz w:val="21"/>
                <w:szCs w:val="21"/>
              </w:rPr>
              <w:t>量取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用量筒量取10mL蒸馏水，倒入装粗盐的烧杯中。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32" w:lineRule="auto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量液时，视线要与量筒内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   </w:t>
            </w:r>
          </w:p>
          <w:p>
            <w:pPr>
              <w:autoSpaceDE w:val="0"/>
              <w:autoSpaceDN w:val="0"/>
              <w:adjustRightInd w:val="0"/>
              <w:spacing w:line="432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           </w:t>
            </w:r>
            <w:r>
              <w:rPr>
                <w:rFonts w:hint="eastAsia"/>
                <w:color w:val="000000"/>
                <w:sz w:val="21"/>
                <w:szCs w:val="21"/>
              </w:rPr>
              <w:t>保持水平。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．溶解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用玻璃棒不断搅拌，使粗盐溶解。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32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用玻璃棒搅拌的目的是</w:t>
            </w:r>
            <w:r>
              <w:rPr>
                <w:color w:val="000000"/>
                <w:sz w:val="21"/>
                <w:szCs w:val="21"/>
              </w:rPr>
              <w:t xml:space="preserve">       </w:t>
            </w:r>
          </w:p>
          <w:p>
            <w:pPr>
              <w:autoSpaceDE w:val="0"/>
              <w:autoSpaceDN w:val="0"/>
              <w:adjustRightInd w:val="0"/>
              <w:spacing w:line="432" w:lineRule="auto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．过滤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过滤食盐水，仔细观察滤纸上剩余物及滤液的颜色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玻璃棒的作用是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</w:t>
            </w:r>
          </w:p>
        </w:tc>
      </w:tr>
    </w:tbl>
    <w:p>
      <w:pPr>
        <w:spacing w:line="432" w:lineRule="auto"/>
        <w:jc w:val="center"/>
        <w:rPr>
          <w:rFonts w:ascii="宋体" w:cs="宋体"/>
          <w:color w:val="000000"/>
          <w:kern w:val="0"/>
          <w:lang w:val="zh-CN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ind w:firstLine="411" w:firstLineChars="196"/>
        <w:jc w:val="left"/>
        <w:rPr>
          <w:bCs/>
          <w:color w:val="000000"/>
          <w:kern w:val="0"/>
          <w:sz w:val="21"/>
          <w:szCs w:val="21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3753"/>
        <w:gridCol w:w="4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43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978" w:firstLineChars="466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称量所需质量的粗盐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量取所需体积的蒸馏水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溶解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粗盐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过滤器的制作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过滤的操作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能完成实验并进行记录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189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189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adjustRightInd w:val="0"/>
        <w:snapToGrid w:val="0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188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188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187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187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adjustRightInd w:val="0"/>
        <w:snapToGrid w:val="0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108585</wp:posOffset>
                </wp:positionV>
                <wp:extent cx="868680" cy="730885"/>
                <wp:effectExtent l="0" t="0" r="5715" b="3175"/>
                <wp:wrapNone/>
                <wp:docPr id="12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0" o:spid="_x0000_s1026" o:spt="202" type="#_x0000_t202" style="position:absolute;left:0pt;margin-left:390.5pt;margin-top:8.55pt;height:57.55pt;width:68.4pt;z-index:251668480;mso-width-relative:page;mso-height-relative:page;" fillcolor="#FFFFFF" filled="t" stroked="f" coordsize="21600,21600" o:gfxdata="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gzFAs2QAAAAoBAAAPAAAAAAAAAAEA&#10;IAAAACIAAABkcnMvZG93bnJldi54bWxQSwECFAAUAAAACACHTuJA3zuln9UBAACqAwAADgAAAAAA&#10;AAABACAAAAAoAQAAZHJzL2Uyb0RvYy54bWxQSwUGAAAAAAYABgBZAQAAb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szCs w:val="21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val="zh-CN"/>
        </w:rPr>
        <w:t>课题</w:t>
      </w:r>
      <w:r>
        <w:rPr>
          <w:rFonts w:hint="eastAsia"/>
          <w:b/>
          <w:bCs/>
          <w:color w:val="000000"/>
          <w:kern w:val="0"/>
          <w:szCs w:val="21"/>
        </w:rPr>
        <w:t>2</w:t>
      </w:r>
      <w:r>
        <w:rPr>
          <w:rFonts w:hint="eastAsia" w:ascii="宋体" w:cs="宋体"/>
          <w:b/>
          <w:bCs/>
          <w:color w:val="000000"/>
          <w:kern w:val="0"/>
          <w:szCs w:val="21"/>
          <w:lang w:val="zh-CN"/>
        </w:rPr>
        <w:t>：酸和碱的中和反应</w:t>
      </w:r>
    </w:p>
    <w:p>
      <w:pPr>
        <w:autoSpaceDE w:val="0"/>
        <w:autoSpaceDN w:val="0"/>
        <w:adjustRightInd w:val="0"/>
        <w:jc w:val="left"/>
        <w:rPr>
          <w:rFonts w:ascii="宋体"/>
          <w:b/>
          <w:bCs/>
          <w:color w:val="000000"/>
          <w:kern w:val="0"/>
          <w:szCs w:val="21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实验报告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2434"/>
        <w:gridCol w:w="26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验  内  容</w:t>
            </w:r>
          </w:p>
        </w:tc>
        <w:tc>
          <w:tcPr>
            <w:tcW w:w="2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210" w:firstLineChars="10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验 现 象</w:t>
            </w:r>
          </w:p>
        </w:tc>
        <w:tc>
          <w:tcPr>
            <w:tcW w:w="2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/>
                <w:color w:val="000000"/>
                <w:sz w:val="21"/>
                <w:szCs w:val="21"/>
                <w:lang w:val="zh-CN"/>
              </w:rPr>
              <w:t xml:space="preserve">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取一片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试纸，放在白瓷板上，用玻璃棒蘸取稀氢氧化钠溶液滴到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试纸上，将试纸显示的颜色与标准比色卡比较</w:t>
            </w:r>
          </w:p>
        </w:tc>
        <w:tc>
          <w:tcPr>
            <w:tcW w:w="2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稀氢氧化钠溶液的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为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稀氢氧化钠溶液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的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 w:val="21"/>
                <w:szCs w:val="21"/>
              </w:rPr>
              <w:t>7，显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用量筒量取约10</w:t>
            </w:r>
            <w:r>
              <w:rPr>
                <w:color w:val="000000"/>
                <w:sz w:val="21"/>
                <w:szCs w:val="21"/>
              </w:rPr>
              <w:t>mL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稀</w:t>
            </w:r>
            <w:r>
              <w:rPr>
                <w:rFonts w:ascii="宋体" w:cs="宋体"/>
                <w:color w:val="000000"/>
                <w:sz w:val="21"/>
                <w:szCs w:val="21"/>
              </w:rPr>
              <w:t>NaOH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溶液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倒入锥形瓶中，滴入2至3滴酚酞溶液，振荡锥形瓶，观察。</w:t>
            </w:r>
          </w:p>
        </w:tc>
        <w:tc>
          <w:tcPr>
            <w:tcW w:w="2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溶液呈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sz w:val="21"/>
                <w:szCs w:val="21"/>
              </w:rPr>
              <w:t>色。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碱溶液能使无色酚酞试液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变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</w:rPr>
              <w:t>色。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用胶头滴管往上述锥形瓶中逐滴滴入稀盐酸，并不断振荡锥形瓶，直至溶液颜色恰好变成无色为止。</w:t>
            </w:r>
          </w:p>
        </w:tc>
        <w:tc>
          <w:tcPr>
            <w:tcW w:w="2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溶液由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</w:rPr>
              <w:t>色变成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</w:rPr>
              <w:t>色。</w:t>
            </w:r>
          </w:p>
        </w:tc>
        <w:tc>
          <w:tcPr>
            <w:tcW w:w="2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4．另取一片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试纸，放在白瓷板上，用胶头滴管取一滴上述反应后所得溶液滴到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试纸上，将试纸显示的颜色与标准比色卡比较</w:t>
            </w:r>
          </w:p>
        </w:tc>
        <w:tc>
          <w:tcPr>
            <w:tcW w:w="2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溶液的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为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</w:p>
        </w:tc>
        <w:tc>
          <w:tcPr>
            <w:tcW w:w="2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根据我的实验结果可知：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ascii="宋体" w:cs="宋体"/>
                <w:color w:val="000000"/>
                <w:sz w:val="21"/>
                <w:szCs w:val="21"/>
              </w:rPr>
              <w:t>NaOH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溶液和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稀盐酸反应是：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  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（填“恰好完全反应”或“酸过量”）。</w:t>
            </w:r>
          </w:p>
        </w:tc>
      </w:tr>
    </w:tbl>
    <w:p>
      <w:pPr>
        <w:spacing w:line="432" w:lineRule="auto"/>
        <w:jc w:val="center"/>
        <w:rPr>
          <w:rFonts w:ascii="宋体" w:cs="宋体"/>
          <w:color w:val="000000"/>
          <w:kern w:val="0"/>
          <w:lang w:val="zh-CN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ind w:firstLine="411" w:firstLineChars="196"/>
        <w:jc w:val="left"/>
        <w:rPr>
          <w:rFonts w:ascii="宋体" w:cs="宋体"/>
          <w:b/>
          <w:bCs/>
          <w:color w:val="000000"/>
          <w:kern w:val="0"/>
          <w:sz w:val="21"/>
          <w:szCs w:val="21"/>
          <w:lang w:val="zh-CN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383"/>
        <w:gridCol w:w="4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ind w:firstLine="978" w:firstLineChars="466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9" w:lineRule="atLeas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量筒的使用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胶头滴管的使用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逐滴加入液体的方法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能完成实验并进行记录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6186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6186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adjustRightInd w:val="0"/>
        <w:snapToGrid w:val="0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6185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6185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6184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6184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adjustRightInd w:val="0"/>
        <w:snapToGrid w:val="0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141605</wp:posOffset>
                </wp:positionV>
                <wp:extent cx="868680" cy="730885"/>
                <wp:effectExtent l="0" t="0" r="5715" b="3175"/>
                <wp:wrapNone/>
                <wp:docPr id="13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1" o:spid="_x0000_s1026" o:spt="202" type="#_x0000_t202" style="position:absolute;left:0pt;margin-left:390.5pt;margin-top:11.15pt;height:57.55pt;width:68.4pt;z-index:251669504;mso-width-relative:page;mso-height-relative:page;" fillcolor="#FFFFFF" filled="t" stroked="f" coordsize="21600,21600" o:gfxdata="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QSM0RdkAAAAKAQAADwAAAAAAAAAB&#10;ACAAAAAiAAAAZHJzL2Rvd25yZXYueG1sUEsBAhQAFAAAAAgAh07iQKPtA6HWAQAAqg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课题</w:t>
      </w:r>
      <w:r>
        <w:rPr>
          <w:rFonts w:hint="eastAsia"/>
          <w:b/>
          <w:bCs/>
          <w:color w:val="000000"/>
          <w:kern w:val="0"/>
        </w:rPr>
        <w:t>3</w:t>
      </w:r>
      <w:r>
        <w:rPr>
          <w:rFonts w:hint="eastAsia" w:ascii="宋体" w:cs="宋体"/>
          <w:b/>
          <w:bCs/>
          <w:color w:val="000000"/>
          <w:kern w:val="0"/>
          <w:lang w:val="zh-CN"/>
        </w:rPr>
        <w:t>：二氧化碳的制取和验满</w:t>
      </w:r>
    </w:p>
    <w:p>
      <w:pPr>
        <w:autoSpaceDE w:val="0"/>
        <w:autoSpaceDN w:val="0"/>
        <w:adjustRightInd w:val="0"/>
        <w:jc w:val="left"/>
        <w:rPr>
          <w:color w:val="000000"/>
          <w:szCs w:val="21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实验报告：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0"/>
        <w:gridCol w:w="1956"/>
        <w:gridCol w:w="29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验  步  骤</w:t>
            </w:r>
          </w:p>
        </w:tc>
        <w:tc>
          <w:tcPr>
            <w:tcW w:w="1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left="-11" w:leftChars="-9" w:hanging="18" w:hangingChars="9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验 现 象</w:t>
            </w:r>
          </w:p>
        </w:tc>
        <w:tc>
          <w:tcPr>
            <w:tcW w:w="2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选择仪器和药品</w:t>
            </w:r>
          </w:p>
        </w:tc>
        <w:tc>
          <w:tcPr>
            <w:tcW w:w="19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9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组装制取装置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检查装置的气密性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导管口有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冒出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证明气密性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制取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二氧化碳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气体</w:t>
            </w:r>
          </w:p>
        </w:tc>
        <w:tc>
          <w:tcPr>
            <w:tcW w:w="1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有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产生</w:t>
            </w:r>
          </w:p>
        </w:tc>
        <w:tc>
          <w:tcPr>
            <w:tcW w:w="2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收集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二氧化碳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气体</w:t>
            </w:r>
          </w:p>
        </w:tc>
        <w:tc>
          <w:tcPr>
            <w:tcW w:w="1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2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验满：将燃着的木条放在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 xml:space="preserve"> </w:t>
            </w:r>
          </w:p>
        </w:tc>
        <w:tc>
          <w:tcPr>
            <w:tcW w:w="19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燃着的木条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   </w:t>
            </w:r>
          </w:p>
        </w:tc>
        <w:tc>
          <w:tcPr>
            <w:tcW w:w="29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证明已收集满</w:t>
            </w:r>
          </w:p>
        </w:tc>
      </w:tr>
    </w:tbl>
    <w:p>
      <w:pPr>
        <w:spacing w:line="432" w:lineRule="auto"/>
        <w:jc w:val="center"/>
        <w:rPr>
          <w:rFonts w:ascii="宋体" w:cs="宋体"/>
          <w:color w:val="000000"/>
          <w:kern w:val="0"/>
          <w:lang w:val="zh-CN"/>
        </w:rPr>
      </w:pPr>
      <w:r>
        <w:rPr>
          <w:rFonts w:hint="eastAsia"/>
          <w:color w:val="000000"/>
          <w:sz w:val="24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ind w:firstLine="411" w:firstLineChars="196"/>
        <w:jc w:val="left"/>
        <w:rPr>
          <w:bCs/>
          <w:color w:val="000000"/>
          <w:kern w:val="0"/>
          <w:sz w:val="21"/>
          <w:szCs w:val="21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3618"/>
        <w:gridCol w:w="45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仪器、药品的选用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制取装置的组装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检查装置的气密性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制取并收集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二氧化碳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气体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二氧化碳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气体的验满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365" w:leftChars="4" w:hanging="352" w:hangingChars="168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能完成实验并进行简要记录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432" w:lineRule="auto"/>
        <w:rPr>
          <w:rFonts w:hint="eastAsia"/>
          <w:color w:val="000000"/>
          <w:kern w:val="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5936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5936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5935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5935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5934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5934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133350</wp:posOffset>
                </wp:positionV>
                <wp:extent cx="868680" cy="730885"/>
                <wp:effectExtent l="0" t="0" r="5715" b="3175"/>
                <wp:wrapNone/>
                <wp:docPr id="14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2" o:spid="_x0000_s1026" o:spt="202" type="#_x0000_t202" style="position:absolute;left:0pt;margin-left:390.5pt;margin-top:10.5pt;height:57.55pt;width:68.4pt;z-index:251670528;mso-width-relative:page;mso-height-relative:page;" fillcolor="#FFFFFF" filled="t" stroked="f" coordsize="21600,21600" o:gfxdata="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uqpQCdkAAAAKAQAADwAAAAAAAAAB&#10;ACAAAAAiAAAAZHJzL2Rvd25yZXYueG1sUEsBAhQAFAAAAAgAh07iQPCETaHWAQAAqg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rPr>
          <w:rFonts w:ascii="宋体" w:cs="宋体"/>
          <w:b/>
          <w:bCs/>
          <w:color w:val="000000"/>
          <w:kern w:val="0"/>
          <w:sz w:val="28"/>
          <w:szCs w:val="28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val="zh-CN"/>
        </w:rPr>
        <w:t>课题</w:t>
      </w:r>
      <w:r>
        <w:rPr>
          <w:rFonts w:hint="eastAsia"/>
          <w:b/>
          <w:bCs/>
          <w:color w:val="000000"/>
          <w:kern w:val="0"/>
          <w:sz w:val="28"/>
          <w:szCs w:val="28"/>
        </w:rPr>
        <w:t>4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val="zh-CN"/>
        </w:rPr>
        <w:t>：碱部分化学性质的实验</w:t>
      </w:r>
    </w:p>
    <w:p>
      <w:pPr>
        <w:autoSpaceDE w:val="0"/>
        <w:autoSpaceDN w:val="0"/>
        <w:adjustRightInd w:val="0"/>
        <w:jc w:val="left"/>
        <w:rPr>
          <w:rFonts w:ascii="宋体"/>
          <w:b/>
          <w:bCs/>
          <w:color w:val="000000"/>
          <w:kern w:val="0"/>
          <w:sz w:val="28"/>
          <w:szCs w:val="28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val="zh-CN"/>
        </w:rPr>
        <w:t>实验报告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7"/>
        <w:gridCol w:w="1819"/>
        <w:gridCol w:w="2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验  内  容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210" w:firstLineChars="10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验 现 象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20" w:firstLineChars="20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测定碱溶液的</w:t>
            </w:r>
            <w:r>
              <w:rPr>
                <w:color w:val="000000"/>
                <w:sz w:val="21"/>
                <w:szCs w:val="21"/>
              </w:rPr>
              <w:t>pH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取两片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试纸，放白瓷板上，分别用玻璃棒蘸取稀氢氧化钠溶液、</w:t>
            </w:r>
            <w:r>
              <w:rPr>
                <w:rFonts w:hint="eastAsia"/>
                <w:color w:val="000000"/>
                <w:sz w:val="21"/>
                <w:szCs w:val="21"/>
              </w:rPr>
              <w:t>澄清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石灰水滴入到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试纸上，将试纸显示的颜色与标准比色卡比较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稀氢氧化钠溶液的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为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澄清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石灰水的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为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碱溶液的</w:t>
            </w:r>
            <w:r>
              <w:rPr>
                <w:color w:val="000000"/>
                <w:sz w:val="21"/>
                <w:szCs w:val="21"/>
              </w:rPr>
              <w:t>pH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都大于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碱和指示剂作用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取两支洁净的试管，分别加入</w:t>
            </w:r>
            <w:r>
              <w:rPr>
                <w:color w:val="000000"/>
                <w:sz w:val="21"/>
                <w:szCs w:val="21"/>
              </w:rPr>
              <w:t>2mL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的稀氢氧化钠溶液、</w:t>
            </w:r>
            <w:r>
              <w:rPr>
                <w:rFonts w:hint="eastAsia"/>
                <w:color w:val="000000"/>
                <w:sz w:val="21"/>
                <w:szCs w:val="21"/>
              </w:rPr>
              <w:t>澄清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石灰水，再分别滴入</w:t>
            </w: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滴酚酞溶液,观察颜色变化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酚酞试液变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为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碱溶液都能使酚酞试液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变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碱和非金属氧化物的反应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取一个集气瓶用排水法收集一瓶呼出的气体，然后加入2-</w:t>
            </w: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  <w:r>
              <w:rPr>
                <w:color w:val="000000"/>
                <w:sz w:val="21"/>
                <w:szCs w:val="21"/>
              </w:rPr>
              <w:t>mL</w:t>
            </w:r>
            <w:r>
              <w:rPr>
                <w:rFonts w:hint="eastAsia"/>
                <w:color w:val="000000"/>
                <w:sz w:val="21"/>
                <w:szCs w:val="21"/>
              </w:rPr>
              <w:t>澄清石灰水，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振荡。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澄清石灰水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变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cs="宋体"/>
                <w:bCs/>
                <w:color w:val="000000"/>
                <w:kern w:val="0"/>
                <w:sz w:val="21"/>
                <w:szCs w:val="21"/>
                <w:u w:val="single"/>
                <w:lang w:val="zh-CN"/>
              </w:rPr>
              <w:t xml:space="preserve">  </w:t>
            </w:r>
            <w:r>
              <w:rPr>
                <w:rFonts w:hint="eastAsia" w:ascii="宋体" w:cs="宋体"/>
                <w:bCs/>
                <w:color w:val="000000"/>
                <w:kern w:val="0"/>
                <w:sz w:val="21"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cs="宋体"/>
                <w:bCs/>
                <w:color w:val="000000"/>
                <w:kern w:val="0"/>
                <w:sz w:val="21"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hint="eastAsia" w:ascii="宋体" w:cs="宋体"/>
                <w:bCs/>
                <w:color w:val="000000"/>
                <w:kern w:val="0"/>
                <w:sz w:val="21"/>
                <w:szCs w:val="21"/>
                <w:u w:val="single"/>
                <w:lang w:val="zh-CN"/>
              </w:rPr>
              <w:t xml:space="preserve">   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                        </w:t>
            </w:r>
          </w:p>
        </w:tc>
      </w:tr>
    </w:tbl>
    <w:p>
      <w:pPr>
        <w:spacing w:line="432" w:lineRule="auto"/>
        <w:jc w:val="center"/>
        <w:rPr>
          <w:rFonts w:ascii="宋体" w:cs="宋体"/>
          <w:color w:val="000000"/>
          <w:kern w:val="0"/>
          <w:sz w:val="21"/>
          <w:szCs w:val="21"/>
          <w:lang w:val="zh-CN"/>
        </w:rPr>
      </w:pPr>
      <w:r>
        <w:rPr>
          <w:rFonts w:hint="eastAsia"/>
          <w:color w:val="000000"/>
          <w:sz w:val="21"/>
          <w:szCs w:val="21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ind w:firstLine="411" w:firstLineChars="196"/>
        <w:jc w:val="left"/>
        <w:rPr>
          <w:bCs/>
          <w:color w:val="000000"/>
          <w:kern w:val="0"/>
          <w:sz w:val="21"/>
          <w:szCs w:val="21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593"/>
        <w:gridCol w:w="45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5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898" w:firstLineChars="428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收集气体的方法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液体药品的取用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胶头滴管的使用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逐滴加入液体的方法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能完成实验并进行简要记录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b/>
                <w:color w:val="000000"/>
                <w:kern w:val="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5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51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b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432" w:lineRule="auto"/>
        <w:rPr>
          <w:rFonts w:hint="eastAsia"/>
          <w:color w:val="000000"/>
          <w:kern w:val="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5933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5933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5932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5932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5931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5931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133350</wp:posOffset>
                </wp:positionV>
                <wp:extent cx="868680" cy="730885"/>
                <wp:effectExtent l="0" t="0" r="5715" b="3175"/>
                <wp:wrapNone/>
                <wp:docPr id="15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3" o:spid="_x0000_s1026" o:spt="202" type="#_x0000_t202" style="position:absolute;left:0pt;margin-left:390.5pt;margin-top:10.5pt;height:57.55pt;width:68.4pt;z-index:251671552;mso-width-relative:page;mso-height-relative:page;" fillcolor="#FFFFFF" filled="t" stroked="f" coordsize="21600,21600" o:gfxdata="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qqUAnZAAAACgEAAA8AAAAAAAAA&#10;AQAgAAAAIgAAAGRycy9kb3ducmV2LnhtbFBLAQIUABQAAAAIAIdO4kCMUuuf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课题</w:t>
      </w:r>
      <w:r>
        <w:rPr>
          <w:b/>
          <w:bCs/>
          <w:color w:val="000000"/>
          <w:kern w:val="0"/>
        </w:rPr>
        <w:t>5</w:t>
      </w:r>
      <w:r>
        <w:rPr>
          <w:rFonts w:hint="eastAsia" w:ascii="宋体" w:cs="宋体"/>
          <w:b/>
          <w:bCs/>
          <w:color w:val="000000"/>
          <w:kern w:val="0"/>
          <w:lang w:val="zh-CN"/>
        </w:rPr>
        <w:t>：盐部分化学性质的实验</w:t>
      </w:r>
    </w:p>
    <w:p>
      <w:pPr>
        <w:autoSpaceDE w:val="0"/>
        <w:autoSpaceDN w:val="0"/>
        <w:adjustRightInd w:val="0"/>
        <w:jc w:val="left"/>
        <w:rPr>
          <w:rFonts w:ascii="宋体"/>
          <w:b/>
          <w:bCs/>
          <w:color w:val="000000"/>
          <w:kern w:val="0"/>
          <w:szCs w:val="21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实验报告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6"/>
        <w:gridCol w:w="1980"/>
        <w:gridCol w:w="3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3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验  内  容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210" w:firstLineChars="10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验 现 象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/>
                <w:color w:val="000000"/>
                <w:sz w:val="21"/>
                <w:szCs w:val="21"/>
                <w:lang w:val="zh-CN"/>
              </w:rPr>
              <w:t xml:space="preserve">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3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盐和金属的反应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取一支洁净的试管，向试管中加入</w:t>
            </w:r>
            <w:r>
              <w:rPr>
                <w:color w:val="000000"/>
                <w:sz w:val="21"/>
                <w:szCs w:val="21"/>
              </w:rPr>
              <w:t>3mL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的硫酸铜溶液，小心地加入一根用砂纸打磨光亮的铁线，静置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铁线表面生成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色固体，溶液由</w:t>
            </w:r>
            <w:r>
              <w:rPr>
                <w:rFonts w:hint="eastAsia"/>
                <w:color w:val="000000"/>
                <w:sz w:val="21"/>
                <w:szCs w:val="21"/>
              </w:rPr>
              <w:t>蓝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色变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色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3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盐和酸的反应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取一支洁净的试管，向试管中加入半药匙的碳酸钠固体，再加入约</w:t>
            </w:r>
            <w:r>
              <w:rPr>
                <w:color w:val="000000"/>
                <w:sz w:val="21"/>
                <w:szCs w:val="21"/>
              </w:rPr>
              <w:t>2mL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盐酸,振荡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有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产生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3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盐和碱的反应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取一支洁净的试管，向试管中加入约</w:t>
            </w:r>
            <w:r>
              <w:rPr>
                <w:color w:val="000000"/>
                <w:sz w:val="21"/>
                <w:szCs w:val="21"/>
              </w:rPr>
              <w:t>2mL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碳酸钠溶液，用滴管向碳酸钠溶液中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逐滴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滴加氢氧化钙溶液，观察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生成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color w:val="000000"/>
                <w:sz w:val="21"/>
                <w:szCs w:val="21"/>
                <w:u w:val="single"/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化学方程式：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 xml:space="preserve">                            </w:t>
            </w:r>
          </w:p>
        </w:tc>
      </w:tr>
    </w:tbl>
    <w:p>
      <w:pPr>
        <w:spacing w:line="432" w:lineRule="auto"/>
        <w:jc w:val="center"/>
        <w:rPr>
          <w:rFonts w:ascii="宋体" w:cs="宋体"/>
          <w:color w:val="000000"/>
          <w:kern w:val="0"/>
          <w:sz w:val="21"/>
          <w:szCs w:val="21"/>
          <w:lang w:val="zh-CN"/>
        </w:rPr>
      </w:pPr>
      <w:r>
        <w:rPr>
          <w:rFonts w:hint="eastAsia"/>
          <w:color w:val="000000"/>
          <w:sz w:val="21"/>
          <w:szCs w:val="21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ind w:firstLine="411" w:firstLineChars="196"/>
        <w:jc w:val="left"/>
        <w:rPr>
          <w:bCs/>
          <w:color w:val="000000"/>
          <w:kern w:val="0"/>
          <w:sz w:val="21"/>
          <w:szCs w:val="21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3584"/>
        <w:gridCol w:w="45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898" w:firstLineChars="428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688" w:firstLineChars="328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固体药品的取用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液体药品的取用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胶头滴管的使用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逐滴加入液体的方法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能完成实验并进行记录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48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5930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5930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adjustRightInd w:val="0"/>
        <w:snapToGrid w:val="0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5929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5929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5928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5928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年初中学业水平考试理化实验</w:t>
      </w:r>
    </w:p>
    <w:p>
      <w:pPr>
        <w:adjustRightInd w:val="0"/>
        <w:snapToGrid w:val="0"/>
        <w:jc w:val="center"/>
        <w:rPr>
          <w:rFonts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操作考试知识要点及评定记录（学生用）</w:t>
      </w:r>
    </w:p>
    <w:p>
      <w:pPr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100330</wp:posOffset>
                </wp:positionV>
                <wp:extent cx="868680" cy="730885"/>
                <wp:effectExtent l="0" t="0" r="5715" b="3175"/>
                <wp:wrapNone/>
                <wp:docPr id="16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4" o:spid="_x0000_s1026" o:spt="202" type="#_x0000_t202" style="position:absolute;left:0pt;margin-left:390.5pt;margin-top:7.9pt;height:57.55pt;width:68.4pt;z-index:251672576;mso-width-relative:page;mso-height-relative:page;" fillcolor="#FFFFFF" filled="t" stroked="f" coordsize="21600,21600" o:gfxdata="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GZf0NkAAAAKAQAADwAAAAAAAAAB&#10;ACAAAAAiAAAAZHJzL2Rvd25yZXYueG1sUEsBAhQAFAAAAAgAh07iQC9iPmXWAQAAqg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/>
          <w:szCs w:val="24"/>
        </w:rPr>
        <w:t>化学科</w:t>
      </w:r>
    </w:p>
    <w:p>
      <w:pPr>
        <w:autoSpaceDE w:val="0"/>
        <w:autoSpaceDN w:val="0"/>
        <w:adjustRightInd w:val="0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学校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</w:rPr>
        <w:t>班级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姓名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none"/>
          <w:lang w:val="en-US" w:eastAsia="zh-CN"/>
        </w:rPr>
        <w:t>准考证号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课题</w:t>
      </w:r>
      <w:r>
        <w:rPr>
          <w:b/>
          <w:bCs/>
          <w:color w:val="000000"/>
          <w:kern w:val="0"/>
        </w:rPr>
        <w:t>6</w:t>
      </w:r>
      <w:r>
        <w:rPr>
          <w:rFonts w:hint="eastAsia" w:ascii="宋体" w:cs="宋体"/>
          <w:b/>
          <w:bCs/>
          <w:color w:val="000000"/>
          <w:kern w:val="0"/>
          <w:lang w:val="zh-CN"/>
        </w:rPr>
        <w:t>：配制</w:t>
      </w:r>
      <w:r>
        <w:rPr>
          <w:b/>
          <w:bCs/>
          <w:color w:val="000000"/>
          <w:kern w:val="0"/>
        </w:rPr>
        <w:t>50g</w:t>
      </w:r>
      <w:r>
        <w:rPr>
          <w:rFonts w:hint="eastAsia" w:ascii="宋体" w:cs="宋体"/>
          <w:b/>
          <w:bCs/>
          <w:color w:val="000000"/>
          <w:kern w:val="0"/>
          <w:lang w:val="zh-CN"/>
        </w:rPr>
        <w:t>质量分数为</w:t>
      </w:r>
      <w:r>
        <w:rPr>
          <w:b/>
          <w:bCs/>
          <w:color w:val="000000"/>
          <w:kern w:val="0"/>
        </w:rPr>
        <w:t>6</w:t>
      </w:r>
      <w:r>
        <w:rPr>
          <w:rFonts w:hint="eastAsia" w:ascii="宋体" w:cs="宋体"/>
          <w:b/>
          <w:bCs/>
          <w:color w:val="000000"/>
          <w:kern w:val="0"/>
          <w:lang w:val="zh-CN"/>
        </w:rPr>
        <w:t>％的氯化钠溶液</w:t>
      </w:r>
    </w:p>
    <w:p>
      <w:pPr>
        <w:autoSpaceDE w:val="0"/>
        <w:autoSpaceDN w:val="0"/>
        <w:adjustRightInd w:val="0"/>
        <w:jc w:val="left"/>
        <w:rPr>
          <w:rFonts w:ascii="宋体"/>
          <w:b/>
          <w:bCs/>
          <w:color w:val="000000"/>
          <w:kern w:val="0"/>
          <w:szCs w:val="21"/>
          <w:lang w:val="zh-CN"/>
        </w:rPr>
      </w:pPr>
      <w:r>
        <w:rPr>
          <w:rFonts w:hint="eastAsia" w:ascii="宋体" w:cs="宋体"/>
          <w:b/>
          <w:bCs/>
          <w:color w:val="000000"/>
          <w:kern w:val="0"/>
          <w:lang w:val="zh-CN"/>
        </w:rPr>
        <w:t>实验报告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jc w:val="lef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实    验    内    容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分 析 与 判 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</w:rPr>
              <w:t>．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计算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配制</w:t>
            </w:r>
            <w:r>
              <w:rPr>
                <w:color w:val="000000"/>
                <w:sz w:val="21"/>
                <w:szCs w:val="21"/>
              </w:rPr>
              <w:t>50g6%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的氯化钠溶液需要氯化钠的质量和蒸馏水的体积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需氯化钠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</w:t>
            </w:r>
            <w:r>
              <w:rPr>
                <w:rFonts w:ascii="宋体" w:cs="宋体"/>
                <w:color w:val="000000"/>
                <w:sz w:val="21"/>
                <w:szCs w:val="21"/>
                <w:lang w:val="zh-CN"/>
              </w:rPr>
              <w:t>g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需水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cs="宋体"/>
                <w:color w:val="000000"/>
                <w:sz w:val="21"/>
                <w:szCs w:val="21"/>
                <w:lang w:val="zh-CN"/>
              </w:rPr>
              <w:t>g,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 xml:space="preserve"> 水的体积为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cs="宋体"/>
                <w:color w:val="000000"/>
                <w:sz w:val="21"/>
                <w:szCs w:val="21"/>
                <w:lang w:val="zh-CN"/>
              </w:rPr>
              <w:t>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．称量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用托盘天平称量所需质量的氯化钠，将氯化钠倒入干燥的小烧杯中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．量取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用量筒量取所需体积的蒸馏水，将其倒入上述烧杯中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应选用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mL量筒量取蒸馏水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溶解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用玻璃棒不断搅拌,使氯化钠完全溶解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用玻璃棒搅拌的目的是</w:t>
            </w:r>
            <w:r>
              <w:rPr>
                <w:color w:val="000000"/>
                <w:sz w:val="21"/>
                <w:szCs w:val="21"/>
              </w:rPr>
              <w:t xml:space="preserve">  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/>
                <w:sz w:val="21"/>
                <w:szCs w:val="21"/>
                <w:lang w:val="zh-CN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．将配好的溶液装入试剂瓶，盖好瓶塞并贴上标签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标签中应包括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   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/>
                <w:sz w:val="21"/>
                <w:szCs w:val="21"/>
                <w:u w:val="single"/>
                <w:lang w:val="zh-CN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zh-CN"/>
              </w:rPr>
              <w:t>和</w:t>
            </w:r>
            <w:r>
              <w:rPr>
                <w:rFonts w:hint="eastAsia" w:ascii="宋体" w:cs="宋体"/>
                <w:color w:val="000000"/>
                <w:sz w:val="21"/>
                <w:szCs w:val="21"/>
                <w:u w:val="single"/>
                <w:lang w:val="zh-CN"/>
              </w:rPr>
              <w:t xml:space="preserve">                                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宋体" w:cs="宋体"/>
          <w:color w:val="000000"/>
          <w:kern w:val="0"/>
          <w:sz w:val="21"/>
          <w:szCs w:val="21"/>
          <w:lang w:val="zh-CN"/>
        </w:rPr>
      </w:pPr>
      <w:r>
        <w:rPr>
          <w:rFonts w:hint="eastAsia"/>
          <w:color w:val="000000"/>
          <w:sz w:val="21"/>
          <w:szCs w:val="21"/>
        </w:rPr>
        <w:t>————————————— 以下表格由监考员填写 ————————————</w:t>
      </w:r>
    </w:p>
    <w:p>
      <w:pPr>
        <w:autoSpaceDE w:val="0"/>
        <w:autoSpaceDN w:val="0"/>
        <w:adjustRightInd w:val="0"/>
        <w:snapToGrid w:val="0"/>
        <w:spacing w:line="500" w:lineRule="exact"/>
        <w:ind w:firstLine="411" w:firstLineChars="196"/>
        <w:jc w:val="left"/>
        <w:rPr>
          <w:rFonts w:ascii="宋体" w:cs="宋体"/>
          <w:b/>
          <w:bCs/>
          <w:color w:val="000000"/>
          <w:kern w:val="0"/>
          <w:sz w:val="21"/>
          <w:szCs w:val="21"/>
          <w:lang w:val="zh-CN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完成操作情况评定表（完成</w:t>
      </w:r>
      <w:r>
        <w:rPr>
          <w:rFonts w:hint="eastAsia" w:ascii="宋体" w:cs="宋体"/>
          <w:color w:val="000000"/>
          <w:kern w:val="0"/>
          <w:sz w:val="21"/>
          <w:szCs w:val="21"/>
        </w:rPr>
        <w:t>4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个知识技能要点以上为合格，否则为不合格）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3753"/>
        <w:gridCol w:w="4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3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知识、技能要点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实验操作情况记录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计算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所需氯化钠和水的用量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称量所需质量的食盐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量取所需体积的蒸馏水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溶解固体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氯化钠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转移溶液，装瓶定容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能完成实验并进行记录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zh-CN"/>
              </w:rPr>
              <w:t>实验习惯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336" w:lineRule="auto"/>
        <w:rPr>
          <w:rFonts w:hint="eastAsia"/>
          <w:color w:val="000000"/>
          <w:kern w:val="0"/>
          <w:sz w:val="24"/>
        </w:rPr>
      </w:pPr>
    </w:p>
    <w:p>
      <w:pPr>
        <w:spacing w:line="432" w:lineRule="auto"/>
        <w:rPr>
          <w:color w:val="000000"/>
          <w:sz w:val="24"/>
        </w:rPr>
      </w:pPr>
      <w:r>
        <w:rPr>
          <w:rFonts w:hint="eastAsia"/>
          <w:color w:val="000000"/>
          <w:spacing w:val="40"/>
          <w:kern w:val="0"/>
          <w:sz w:val="24"/>
          <w:fitText w:val="2160" w:id="-1265895927"/>
        </w:rPr>
        <w:t>考试结果评定</w:t>
      </w:r>
      <w:r>
        <w:rPr>
          <w:rFonts w:hint="eastAsia"/>
          <w:color w:val="000000"/>
          <w:spacing w:val="0"/>
          <w:kern w:val="0"/>
          <w:sz w:val="24"/>
          <w:fitText w:val="2160" w:id="-1265895927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</w:rPr>
        <w:t>（填“合格”或“不合格”）</w:t>
      </w:r>
    </w:p>
    <w:p>
      <w:pPr>
        <w:spacing w:line="432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pacing w:val="72"/>
          <w:kern w:val="0"/>
          <w:sz w:val="24"/>
          <w:fitText w:val="2160" w:id="-1265895926"/>
        </w:rPr>
        <w:t>监考员签名</w:t>
      </w:r>
      <w:r>
        <w:rPr>
          <w:rFonts w:hint="eastAsia"/>
          <w:color w:val="000000"/>
          <w:spacing w:val="0"/>
          <w:kern w:val="0"/>
          <w:sz w:val="24"/>
          <w:fitText w:val="2160" w:id="-1265895926"/>
        </w:rPr>
        <w:t>：</w:t>
      </w:r>
      <w:r>
        <w:rPr>
          <w:rFonts w:hint="eastAsia"/>
          <w:color w:val="000000"/>
          <w:kern w:val="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、</w:t>
      </w:r>
      <w:r>
        <w:rPr>
          <w:rFonts w:hint="eastAsia"/>
          <w:color w:val="000000"/>
          <w:sz w:val="24"/>
          <w:u w:val="single"/>
        </w:rPr>
        <w:t xml:space="preserve">               </w:t>
      </w:r>
    </w:p>
    <w:p>
      <w:pPr>
        <w:snapToGrid w:val="0"/>
        <w:spacing w:line="413" w:lineRule="atLeast"/>
        <w:rPr>
          <w:rFonts w:hint="eastAsia" w:ascii="仿宋_GB2312" w:hAnsi="仿宋_GB2312" w:eastAsia="仿宋_GB2312" w:cs="仿宋_GB2312"/>
          <w:color w:val="000000"/>
          <w:szCs w:val="21"/>
          <w:lang w:eastAsia="zh-CN"/>
        </w:rPr>
      </w:pPr>
      <w:r>
        <w:rPr>
          <w:rFonts w:hint="eastAsia"/>
          <w:b/>
          <w:bCs/>
          <w:color w:val="000000"/>
          <w:spacing w:val="29"/>
          <w:kern w:val="0"/>
          <w:sz w:val="24"/>
          <w:fitText w:val="2160" w:id="-1265895925"/>
        </w:rPr>
        <w:t>不合格考生签名</w:t>
      </w:r>
      <w:r>
        <w:rPr>
          <w:b/>
          <w:bCs/>
          <w:color w:val="000000"/>
          <w:spacing w:val="8"/>
          <w:kern w:val="0"/>
          <w:sz w:val="24"/>
          <w:fitText w:val="2160" w:id="-1265895925"/>
        </w:rPr>
        <w:t>:</w:t>
      </w:r>
      <w:r>
        <w:rPr>
          <w:rFonts w:hint="eastAsia"/>
          <w:b/>
          <w:bCs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</w:t>
      </w:r>
      <w:r>
        <w:rPr>
          <w:rFonts w:hint="eastAsia"/>
          <w:color w:val="000000"/>
          <w:sz w:val="24"/>
        </w:rPr>
        <w:t xml:space="preserve">      </w:t>
      </w:r>
      <w:r>
        <w:rPr>
          <w:rFonts w:hint="eastAsia"/>
          <w:color w:val="000000"/>
          <w:sz w:val="24"/>
          <w:lang w:eastAsia="zh-CN"/>
        </w:rPr>
        <w:t>2024</w:t>
      </w:r>
      <w:r>
        <w:rPr>
          <w:rFonts w:hint="eastAsia"/>
          <w:color w:val="000000"/>
          <w:sz w:val="24"/>
        </w:rPr>
        <w:t>年    月    日</w:t>
      </w:r>
      <w:r>
        <w:rPr>
          <w:color w:val="000000"/>
          <w:sz w:val="24"/>
        </w:rPr>
        <w:br w:type="page"/>
      </w:r>
      <w:r>
        <w:rPr>
          <w:rFonts w:hint="eastAsia" w:ascii="仿宋_GB2312" w:hAnsi="仿宋_GB2312" w:eastAsia="仿宋_GB2312" w:cs="仿宋_GB2312"/>
          <w:color w:val="000000"/>
          <w:szCs w:val="21"/>
        </w:rPr>
        <w:t>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3</w:t>
      </w:r>
    </w:p>
    <w:p>
      <w:pPr>
        <w:rPr>
          <w:rFonts w:hAnsi="Times New Roman" w:cs="宋体"/>
          <w:color w:val="000000"/>
          <w:szCs w:val="21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南宁市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  <w:lang w:eastAsia="zh-CN"/>
        </w:rPr>
        <w:t>2024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年初中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学业水平考试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理化实验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操作考试伤、病考生缓考、免考申请表</w:t>
      </w:r>
    </w:p>
    <w:p>
      <w:pPr>
        <w:spacing w:line="540" w:lineRule="exact"/>
        <w:jc w:val="center"/>
        <w:rPr>
          <w:rFonts w:ascii="宋体" w:hAnsi="宋体" w:cs="宋体"/>
          <w:color w:val="000000"/>
          <w:sz w:val="44"/>
          <w:szCs w:val="44"/>
        </w:rPr>
      </w:pPr>
    </w:p>
    <w:tbl>
      <w:tblPr>
        <w:tblStyle w:val="12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1139"/>
        <w:gridCol w:w="1379"/>
        <w:gridCol w:w="1681"/>
        <w:gridCol w:w="1231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姓名</w:t>
            </w:r>
          </w:p>
        </w:tc>
        <w:tc>
          <w:tcPr>
            <w:tcW w:w="25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准考证号</w:t>
            </w:r>
          </w:p>
        </w:tc>
        <w:tc>
          <w:tcPr>
            <w:tcW w:w="30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性别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年月日</w:t>
            </w:r>
          </w:p>
        </w:tc>
        <w:tc>
          <w:tcPr>
            <w:tcW w:w="291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  <w:tc>
          <w:tcPr>
            <w:tcW w:w="183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近期半身免冠一寸照片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所属考点</w:t>
            </w:r>
          </w:p>
        </w:tc>
        <w:tc>
          <w:tcPr>
            <w:tcW w:w="543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84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联系电话</w:t>
            </w:r>
          </w:p>
        </w:tc>
        <w:tc>
          <w:tcPr>
            <w:tcW w:w="5430" w:type="dxa"/>
            <w:gridSpan w:val="4"/>
            <w:noWrap w:val="0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bidi w:val="0"/>
              <w:rPr>
                <w:rFonts w:hint="default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学校联系人及电话：</w:t>
            </w: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color w:val="000000"/>
                <w:sz w:val="28"/>
                <w:szCs w:val="21"/>
              </w:rPr>
            </w:pPr>
          </w:p>
        </w:tc>
        <w:tc>
          <w:tcPr>
            <w:tcW w:w="5430" w:type="dxa"/>
            <w:gridSpan w:val="4"/>
            <w:noWrap w:val="0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bidi w:val="0"/>
              <w:rPr>
                <w:rFonts w:hint="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家长联系人及电话：</w:t>
            </w: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□缓考原因</w:t>
            </w:r>
          </w:p>
          <w:p>
            <w:pPr>
              <w:spacing w:line="360" w:lineRule="exact"/>
              <w:jc w:val="center"/>
              <w:rPr>
                <w:rFonts w:hint="default" w:eastAsia="宋体" w:cs="宋体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□免考原因</w:t>
            </w:r>
          </w:p>
        </w:tc>
        <w:tc>
          <w:tcPr>
            <w:tcW w:w="7262" w:type="dxa"/>
            <w:gridSpan w:val="5"/>
            <w:noWrap w:val="0"/>
            <w:vAlign w:val="bottom"/>
          </w:tcPr>
          <w:p>
            <w:pPr>
              <w:bidi w:val="0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考生签字：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</w:rPr>
              <w:t>家长签字：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学校意见</w:t>
            </w:r>
          </w:p>
        </w:tc>
        <w:tc>
          <w:tcPr>
            <w:tcW w:w="7262" w:type="dxa"/>
            <w:gridSpan w:val="5"/>
            <w:noWrap w:val="0"/>
            <w:vAlign w:val="bottom"/>
          </w:tcPr>
          <w:p>
            <w:pPr>
              <w:spacing w:line="360" w:lineRule="exact"/>
              <w:ind w:right="560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  <w:lang w:val="en-US" w:eastAsia="zh-CN"/>
              </w:rPr>
              <w:t>负责人</w:t>
            </w:r>
            <w:r>
              <w:rPr>
                <w:rFonts w:hint="eastAsia" w:cs="宋体"/>
                <w:color w:val="000000"/>
                <w:sz w:val="28"/>
                <w:szCs w:val="21"/>
              </w:rPr>
              <w:t xml:space="preserve">签名：             学 校（章）：              </w:t>
            </w:r>
          </w:p>
          <w:p>
            <w:pPr>
              <w:spacing w:line="360" w:lineRule="exact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 xml:space="preserve">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>中招办意见</w:t>
            </w:r>
          </w:p>
        </w:tc>
        <w:tc>
          <w:tcPr>
            <w:tcW w:w="7262" w:type="dxa"/>
            <w:gridSpan w:val="5"/>
            <w:noWrap w:val="0"/>
            <w:vAlign w:val="bottom"/>
          </w:tcPr>
          <w:p>
            <w:pPr>
              <w:spacing w:line="360" w:lineRule="exact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 xml:space="preserve">                             签  章：</w:t>
            </w:r>
          </w:p>
          <w:p>
            <w:pPr>
              <w:spacing w:line="360" w:lineRule="exact"/>
              <w:rPr>
                <w:rFonts w:cs="宋体"/>
                <w:color w:val="000000"/>
                <w:sz w:val="28"/>
                <w:szCs w:val="21"/>
              </w:rPr>
            </w:pPr>
            <w:r>
              <w:rPr>
                <w:rFonts w:hint="eastAsia" w:cs="宋体"/>
                <w:color w:val="000000"/>
                <w:sz w:val="28"/>
                <w:szCs w:val="21"/>
              </w:rPr>
              <w:t xml:space="preserve">                                    年   月   日                                                  </w:t>
            </w:r>
          </w:p>
        </w:tc>
      </w:tr>
    </w:tbl>
    <w:p>
      <w:pPr>
        <w:spacing w:line="400" w:lineRule="exact"/>
        <w:rPr>
          <w:rFonts w:ascii="仿宋" w:hAnsi="仿宋" w:cs="仿宋"/>
          <w:color w:val="000000"/>
          <w:sz w:val="28"/>
          <w:szCs w:val="28"/>
        </w:rPr>
      </w:pPr>
      <w:r>
        <w:rPr>
          <w:rFonts w:hint="eastAsia" w:cs="宋体"/>
          <w:color w:val="000000"/>
          <w:sz w:val="28"/>
          <w:szCs w:val="21"/>
        </w:rPr>
        <w:t xml:space="preserve">   </w:t>
      </w:r>
    </w:p>
    <w:p>
      <w:pPr>
        <w:rPr>
          <w:rFonts w:ascii="仿宋" w:hAnsi="仿宋" w:cs="仿宋"/>
          <w:color w:val="000000"/>
          <w:sz w:val="28"/>
          <w:szCs w:val="28"/>
        </w:rPr>
        <w:sectPr>
          <w:footerReference r:id="rId5" w:type="default"/>
          <w:pgSz w:w="11907" w:h="16839"/>
          <w:pgMar w:top="1134" w:right="1474" w:bottom="1418" w:left="1588" w:header="851" w:footer="992" w:gutter="0"/>
          <w:pgNumType w:fmt="numberInDash"/>
          <w:cols w:space="720" w:num="1"/>
          <w:docGrid w:linePitch="312" w:charSpace="0"/>
        </w:sectPr>
      </w:pPr>
    </w:p>
    <w:p>
      <w:pPr>
        <w:rPr>
          <w:rFonts w:hint="eastAsia" w:ascii="仿宋_GB2312" w:hAnsi="仿宋_GB2312" w:eastAsia="仿宋_GB2312" w:cs="仿宋_GB2312"/>
          <w:color w:val="00000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</w:rPr>
        <w:t>附件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1-4</w:t>
      </w:r>
    </w:p>
    <w:p>
      <w:pPr>
        <w:ind w:firstLine="643" w:firstLineChars="200"/>
        <w:jc w:val="center"/>
        <w:rPr>
          <w:rFonts w:hAnsi="华文中宋" w:cs="华文中宋"/>
          <w:b/>
          <w:color w:val="000000"/>
          <w:kern w:val="0"/>
        </w:rPr>
      </w:pP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理化实验操作考试考生须知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一、考生必须凭本人的《准考证》参加理化实验操作考试。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二、考生应提前30分钟到考点检录处参加检录，检录处点名3次不到者，取消实验操作考试资格，考试结果评定为不合格。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三、考生在检录处由考务工作人员组织抽签。抽签后，考生根据抽签到的实验试题进入相应的候考室，对号入座等候，遵守监考员宣布的考试规则和要求。考生禁止带手机、点读机等电子产品和课本、实验报告册等资料进入候考室和考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四、考生只准带笔、橡皮、尺子等考试用具进入考场，填写考生信息必须用黑色签字笔，实验图表可以使用铅笔书写。开考信号发出后，考生必须独立完成实验，不准抄袭和喧哗。完成实验后，考生向监考员举手示意，经监考员检查同意后方可交卷离场；考试结果评定为不合格者，需本人签字后再离场。离开考场后，不准在考场周边逗留、讨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</w:rPr>
        <w:t>五、除本场监考员和考生外，其他人员及考生都不得擅自进入考场。</w:t>
      </w:r>
    </w:p>
    <w:p>
      <w:pPr>
        <w:widowControl w:val="0"/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</w:rPr>
        <w:t>六、遵守考场纪律，听从监考员指挥。</w:t>
      </w:r>
    </w:p>
    <w:sectPr>
      <w:footerReference r:id="rId6" w:type="default"/>
      <w:pgSz w:w="11907" w:h="16839"/>
      <w:pgMar w:top="2098" w:right="1474" w:bottom="1985" w:left="1588" w:header="851" w:footer="992" w:gutter="0"/>
      <w:pgNumType w:fmt="numberInDash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2554A8-41E9-4A6D-B6C2-F4EE8A0758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221B33FB-403E-46EF-A42A-48701F7E4F73}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33369BD-CF5F-4815-9262-9D3374AC8F3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08BDC61-32A5-44A2-B06C-7C9F410D2EC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8C0F44D-358A-4FE9-ACCD-857A76C9A26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DF1A623-4067-4079-8E67-F8C47BFEE6F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4B0B41A9-AB0E-4060-9523-342935AEA9B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eastAsia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eastAsia="楷体_GB2312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楷体_GB2312" w:eastAsia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eastAsia="楷体_GB2312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楷体_GB2312" w:eastAsia="楷体_GB2312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hint="eastAsia" w:ascii="楷体_GB2312" w:eastAsia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zvW1y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eastAsia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eastAsia="楷体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楷体_GB2312" w:eastAsia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eastAsia="楷体_GB2312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楷体_GB2312" w:eastAsia="楷体_GB2312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楷体_GB2312" w:eastAsia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32485" cy="357505"/>
              <wp:effectExtent l="0" t="0" r="0" b="0"/>
              <wp:wrapNone/>
              <wp:docPr id="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2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- 42 -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28.15pt;width:65.55pt;mso-position-horizontal:outside;mso-position-horizontal-relative:margin;z-index:251660288;mso-width-relative:page;mso-height-relative:page;" filled="f" stroked="f" coordsize="21600,21600" o:gfxdata="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MGRE21AAAAAQBAAAPAAAAAAAAAAEA&#10;IAAAACIAAABkcnMvZG93bnJldi54bWxQSwECFAAUAAAACACHTuJAibGQ09oBAAClAwAADgAAAAAA&#10;AAABACAAAAAj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- 42 -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099923"/>
    <w:multiLevelType w:val="singleLevel"/>
    <w:tmpl w:val="9D099923"/>
    <w:lvl w:ilvl="0" w:tentative="0">
      <w:start w:val="4"/>
      <w:numFmt w:val="decimal"/>
      <w:suff w:val="nothing"/>
      <w:lvlText w:val="%1.　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ZjBjOWNjMDg0ZDcxY2I5ZjExODFjNmZlMDQ3ZWQifQ=="/>
  </w:docVars>
  <w:rsids>
    <w:rsidRoot w:val="00496D22"/>
    <w:rsid w:val="00007637"/>
    <w:rsid w:val="00045969"/>
    <w:rsid w:val="00053F9A"/>
    <w:rsid w:val="000D08BC"/>
    <w:rsid w:val="000F0A32"/>
    <w:rsid w:val="001018A9"/>
    <w:rsid w:val="00102349"/>
    <w:rsid w:val="001031D7"/>
    <w:rsid w:val="001211E1"/>
    <w:rsid w:val="001277DE"/>
    <w:rsid w:val="0013084A"/>
    <w:rsid w:val="00167E39"/>
    <w:rsid w:val="00173495"/>
    <w:rsid w:val="001812FD"/>
    <w:rsid w:val="001A2870"/>
    <w:rsid w:val="001B1FC2"/>
    <w:rsid w:val="001C1CC7"/>
    <w:rsid w:val="001C7AA8"/>
    <w:rsid w:val="00205AC4"/>
    <w:rsid w:val="00225CFF"/>
    <w:rsid w:val="00247C9C"/>
    <w:rsid w:val="002650C3"/>
    <w:rsid w:val="00270250"/>
    <w:rsid w:val="00296A91"/>
    <w:rsid w:val="002B0CA6"/>
    <w:rsid w:val="002B13EA"/>
    <w:rsid w:val="00324CD1"/>
    <w:rsid w:val="00325ABD"/>
    <w:rsid w:val="00342543"/>
    <w:rsid w:val="003449DD"/>
    <w:rsid w:val="0036449C"/>
    <w:rsid w:val="00397A3E"/>
    <w:rsid w:val="003A689C"/>
    <w:rsid w:val="003A6A98"/>
    <w:rsid w:val="003D14AD"/>
    <w:rsid w:val="003E234F"/>
    <w:rsid w:val="003F4192"/>
    <w:rsid w:val="0043662B"/>
    <w:rsid w:val="00461D33"/>
    <w:rsid w:val="00486301"/>
    <w:rsid w:val="004912E8"/>
    <w:rsid w:val="00496D22"/>
    <w:rsid w:val="004A1036"/>
    <w:rsid w:val="004B03E1"/>
    <w:rsid w:val="004E6210"/>
    <w:rsid w:val="004F4460"/>
    <w:rsid w:val="004F48B8"/>
    <w:rsid w:val="00514AF6"/>
    <w:rsid w:val="00536CF1"/>
    <w:rsid w:val="00537CA0"/>
    <w:rsid w:val="005669C3"/>
    <w:rsid w:val="005858F4"/>
    <w:rsid w:val="005C50EC"/>
    <w:rsid w:val="005C6521"/>
    <w:rsid w:val="0060459E"/>
    <w:rsid w:val="006258F8"/>
    <w:rsid w:val="006452D3"/>
    <w:rsid w:val="006519B6"/>
    <w:rsid w:val="006531B4"/>
    <w:rsid w:val="006906C7"/>
    <w:rsid w:val="006C06F5"/>
    <w:rsid w:val="006C3285"/>
    <w:rsid w:val="006C551A"/>
    <w:rsid w:val="006C6495"/>
    <w:rsid w:val="006F748B"/>
    <w:rsid w:val="00710E5E"/>
    <w:rsid w:val="007478FE"/>
    <w:rsid w:val="00784E69"/>
    <w:rsid w:val="007A3CCE"/>
    <w:rsid w:val="007E3336"/>
    <w:rsid w:val="007E7FAF"/>
    <w:rsid w:val="007F42BD"/>
    <w:rsid w:val="00812D7A"/>
    <w:rsid w:val="0085070B"/>
    <w:rsid w:val="008D71C2"/>
    <w:rsid w:val="008E1C83"/>
    <w:rsid w:val="008F0359"/>
    <w:rsid w:val="008F6440"/>
    <w:rsid w:val="0091460F"/>
    <w:rsid w:val="00914DE9"/>
    <w:rsid w:val="0092195A"/>
    <w:rsid w:val="00940868"/>
    <w:rsid w:val="00942168"/>
    <w:rsid w:val="00971367"/>
    <w:rsid w:val="00977181"/>
    <w:rsid w:val="009B458D"/>
    <w:rsid w:val="009C4475"/>
    <w:rsid w:val="009C6075"/>
    <w:rsid w:val="009E3391"/>
    <w:rsid w:val="00A320C5"/>
    <w:rsid w:val="00A65274"/>
    <w:rsid w:val="00A707C6"/>
    <w:rsid w:val="00AB19EE"/>
    <w:rsid w:val="00AC6F5B"/>
    <w:rsid w:val="00AD6CF1"/>
    <w:rsid w:val="00AF6A7B"/>
    <w:rsid w:val="00B3323B"/>
    <w:rsid w:val="00B36F69"/>
    <w:rsid w:val="00B46C22"/>
    <w:rsid w:val="00B64CED"/>
    <w:rsid w:val="00B81E9B"/>
    <w:rsid w:val="00BB0C46"/>
    <w:rsid w:val="00BB3E0E"/>
    <w:rsid w:val="00BB4906"/>
    <w:rsid w:val="00BC4438"/>
    <w:rsid w:val="00BC670C"/>
    <w:rsid w:val="00BE2318"/>
    <w:rsid w:val="00BE2CDC"/>
    <w:rsid w:val="00C14E35"/>
    <w:rsid w:val="00C441BE"/>
    <w:rsid w:val="00C91C33"/>
    <w:rsid w:val="00C92311"/>
    <w:rsid w:val="00CB363F"/>
    <w:rsid w:val="00CC391C"/>
    <w:rsid w:val="00CC79B6"/>
    <w:rsid w:val="00D018B8"/>
    <w:rsid w:val="00D018C2"/>
    <w:rsid w:val="00D06D75"/>
    <w:rsid w:val="00D1188F"/>
    <w:rsid w:val="00D14F93"/>
    <w:rsid w:val="00D342A5"/>
    <w:rsid w:val="00D36E3F"/>
    <w:rsid w:val="00D80F14"/>
    <w:rsid w:val="00D932D0"/>
    <w:rsid w:val="00D97B4E"/>
    <w:rsid w:val="00DB31B5"/>
    <w:rsid w:val="00E16047"/>
    <w:rsid w:val="00E25C8D"/>
    <w:rsid w:val="00E3240C"/>
    <w:rsid w:val="00E80133"/>
    <w:rsid w:val="00EA6231"/>
    <w:rsid w:val="00EA7A2E"/>
    <w:rsid w:val="00EE1C85"/>
    <w:rsid w:val="00EF3119"/>
    <w:rsid w:val="00F04EBA"/>
    <w:rsid w:val="00F21220"/>
    <w:rsid w:val="00F44071"/>
    <w:rsid w:val="00F713DF"/>
    <w:rsid w:val="00F76C17"/>
    <w:rsid w:val="00F86C81"/>
    <w:rsid w:val="00F872D9"/>
    <w:rsid w:val="00F977C6"/>
    <w:rsid w:val="00FC713E"/>
    <w:rsid w:val="00FE6148"/>
    <w:rsid w:val="012233DE"/>
    <w:rsid w:val="01603CC0"/>
    <w:rsid w:val="01E945D7"/>
    <w:rsid w:val="02FB4122"/>
    <w:rsid w:val="030601AE"/>
    <w:rsid w:val="0399598B"/>
    <w:rsid w:val="068E5516"/>
    <w:rsid w:val="084E0AA9"/>
    <w:rsid w:val="08AD0DE9"/>
    <w:rsid w:val="08F7273B"/>
    <w:rsid w:val="095D1A25"/>
    <w:rsid w:val="09A36273"/>
    <w:rsid w:val="0A92083A"/>
    <w:rsid w:val="0A941FF7"/>
    <w:rsid w:val="0B9D6957"/>
    <w:rsid w:val="0DA43871"/>
    <w:rsid w:val="15460D77"/>
    <w:rsid w:val="15763D45"/>
    <w:rsid w:val="15F5735F"/>
    <w:rsid w:val="160F101D"/>
    <w:rsid w:val="16341933"/>
    <w:rsid w:val="17174AB4"/>
    <w:rsid w:val="1AE70E9B"/>
    <w:rsid w:val="1BB80D54"/>
    <w:rsid w:val="1C6D6FFD"/>
    <w:rsid w:val="1D477146"/>
    <w:rsid w:val="1EE064BA"/>
    <w:rsid w:val="1F51312D"/>
    <w:rsid w:val="1F56592A"/>
    <w:rsid w:val="200D6320"/>
    <w:rsid w:val="215E22BA"/>
    <w:rsid w:val="21F96B26"/>
    <w:rsid w:val="22CD3CB4"/>
    <w:rsid w:val="238C69EF"/>
    <w:rsid w:val="257F3152"/>
    <w:rsid w:val="27D1215D"/>
    <w:rsid w:val="290055E1"/>
    <w:rsid w:val="29363ABF"/>
    <w:rsid w:val="298D6234"/>
    <w:rsid w:val="2B600E97"/>
    <w:rsid w:val="2B833E62"/>
    <w:rsid w:val="2FE727E2"/>
    <w:rsid w:val="30202DD3"/>
    <w:rsid w:val="30E23069"/>
    <w:rsid w:val="32A64B18"/>
    <w:rsid w:val="35F51D46"/>
    <w:rsid w:val="37164509"/>
    <w:rsid w:val="3815405B"/>
    <w:rsid w:val="40E55774"/>
    <w:rsid w:val="41424776"/>
    <w:rsid w:val="418C2630"/>
    <w:rsid w:val="43B35FE0"/>
    <w:rsid w:val="4744194D"/>
    <w:rsid w:val="47AC1AA6"/>
    <w:rsid w:val="48764FF6"/>
    <w:rsid w:val="48B5284B"/>
    <w:rsid w:val="49506F15"/>
    <w:rsid w:val="4BCF36FB"/>
    <w:rsid w:val="4CA75B2F"/>
    <w:rsid w:val="4D6F60CC"/>
    <w:rsid w:val="4F5045CB"/>
    <w:rsid w:val="50A63B1D"/>
    <w:rsid w:val="51024103"/>
    <w:rsid w:val="52307256"/>
    <w:rsid w:val="5492579E"/>
    <w:rsid w:val="55B40AB5"/>
    <w:rsid w:val="56A35932"/>
    <w:rsid w:val="56B35315"/>
    <w:rsid w:val="59264A87"/>
    <w:rsid w:val="5A5F5444"/>
    <w:rsid w:val="5BCA2D21"/>
    <w:rsid w:val="5BF60793"/>
    <w:rsid w:val="5C6E4431"/>
    <w:rsid w:val="5D4D1452"/>
    <w:rsid w:val="5E060985"/>
    <w:rsid w:val="5EF37966"/>
    <w:rsid w:val="60366F2E"/>
    <w:rsid w:val="64D2036D"/>
    <w:rsid w:val="65576A87"/>
    <w:rsid w:val="65712D48"/>
    <w:rsid w:val="662903D4"/>
    <w:rsid w:val="6784366C"/>
    <w:rsid w:val="679D472E"/>
    <w:rsid w:val="692B4124"/>
    <w:rsid w:val="69BE52BF"/>
    <w:rsid w:val="6A203E61"/>
    <w:rsid w:val="6A4A2D08"/>
    <w:rsid w:val="6CAA5FA6"/>
    <w:rsid w:val="6CB15FBE"/>
    <w:rsid w:val="6CB963DD"/>
    <w:rsid w:val="6DB63E53"/>
    <w:rsid w:val="6E264DBC"/>
    <w:rsid w:val="6E5D6B7C"/>
    <w:rsid w:val="722A2641"/>
    <w:rsid w:val="74CA4688"/>
    <w:rsid w:val="75B210AF"/>
    <w:rsid w:val="76527853"/>
    <w:rsid w:val="77944A2E"/>
    <w:rsid w:val="78247E8D"/>
    <w:rsid w:val="78E55F35"/>
    <w:rsid w:val="794E37F5"/>
    <w:rsid w:val="798367E8"/>
    <w:rsid w:val="79DB4A93"/>
    <w:rsid w:val="79E962CD"/>
    <w:rsid w:val="7A212F9C"/>
    <w:rsid w:val="7A9C60E7"/>
    <w:rsid w:val="7AE3754C"/>
    <w:rsid w:val="7AFA66EA"/>
    <w:rsid w:val="7C610B55"/>
    <w:rsid w:val="7EA06B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560" w:lineRule="exact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8"/>
    <w:autoRedefine/>
    <w:qFormat/>
    <w:uiPriority w:val="9"/>
    <w:pPr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4"/>
    <w:basedOn w:val="1"/>
    <w:next w:val="1"/>
    <w:autoRedefine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14">
    <w:name w:val="Default Paragraph Font"/>
    <w:autoRedefine/>
    <w:unhideWhenUsed/>
    <w:qFormat/>
    <w:uiPriority w:val="1"/>
  </w:style>
  <w:style w:type="table" w:default="1" w:styleId="1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autoRedefine/>
    <w:unhideWhenUsed/>
    <w:qFormat/>
    <w:uiPriority w:val="99"/>
    <w:pPr>
      <w:widowControl w:val="0"/>
      <w:spacing w:line="240" w:lineRule="auto"/>
      <w:jc w:val="left"/>
    </w:pPr>
    <w:rPr>
      <w:rFonts w:ascii="等线" w:eastAsia="等线"/>
      <w:sz w:val="21"/>
      <w:szCs w:val="22"/>
    </w:rPr>
  </w:style>
  <w:style w:type="paragraph" w:styleId="5">
    <w:name w:val="Body Text"/>
    <w:basedOn w:val="1"/>
    <w:link w:val="20"/>
    <w:autoRedefine/>
    <w:qFormat/>
    <w:uiPriority w:val="0"/>
    <w:pPr>
      <w:widowControl w:val="0"/>
      <w:spacing w:line="240" w:lineRule="auto"/>
      <w:jc w:val="center"/>
    </w:pPr>
    <w:rPr>
      <w:rFonts w:ascii="Times New Roman" w:hAnsi="Times New Roman" w:eastAsia="宋体" w:cs="Times New Roman"/>
      <w:kern w:val="0"/>
      <w:sz w:val="44"/>
      <w:szCs w:val="24"/>
      <w:lang w:val="zh-CN"/>
    </w:rPr>
  </w:style>
  <w:style w:type="paragraph" w:styleId="6">
    <w:name w:val="Balloon Text"/>
    <w:basedOn w:val="1"/>
    <w:link w:val="21"/>
    <w:autoRedefine/>
    <w:unhideWhenUsed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2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等线" w:eastAsia="等线"/>
      <w:sz w:val="18"/>
      <w:szCs w:val="18"/>
    </w:rPr>
  </w:style>
  <w:style w:type="paragraph" w:styleId="8">
    <w:name w:val="header"/>
    <w:basedOn w:val="1"/>
    <w:link w:val="23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等线" w:eastAsia="等线"/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4"/>
    <w:autoRedefine/>
    <w:unhideWhenUsed/>
    <w:qFormat/>
    <w:uiPriority w:val="99"/>
    <w:rPr>
      <w:b/>
      <w:bCs/>
    </w:rPr>
  </w:style>
  <w:style w:type="paragraph" w:styleId="11">
    <w:name w:val="Body Text First Indent"/>
    <w:basedOn w:val="5"/>
    <w:link w:val="25"/>
    <w:autoRedefine/>
    <w:unhideWhenUsed/>
    <w:qFormat/>
    <w:uiPriority w:val="99"/>
    <w:pPr>
      <w:spacing w:after="120"/>
      <w:ind w:firstLine="420" w:firstLineChars="100"/>
      <w:jc w:val="both"/>
    </w:pPr>
    <w:rPr>
      <w:kern w:val="2"/>
      <w:sz w:val="21"/>
    </w:rPr>
  </w:style>
  <w:style w:type="table" w:styleId="13">
    <w:name w:val="Table Grid"/>
    <w:basedOn w:val="12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autoRedefine/>
    <w:qFormat/>
    <w:uiPriority w:val="0"/>
  </w:style>
  <w:style w:type="character" w:styleId="16">
    <w:name w:val="Hyperlink"/>
    <w:autoRedefine/>
    <w:unhideWhenUsed/>
    <w:qFormat/>
    <w:uiPriority w:val="0"/>
    <w:rPr>
      <w:color w:val="0000FF"/>
      <w:u w:val="single"/>
    </w:rPr>
  </w:style>
  <w:style w:type="character" w:styleId="17">
    <w:name w:val="annotation reference"/>
    <w:autoRedefine/>
    <w:unhideWhenUsed/>
    <w:qFormat/>
    <w:uiPriority w:val="99"/>
    <w:rPr>
      <w:sz w:val="21"/>
      <w:szCs w:val="21"/>
    </w:rPr>
  </w:style>
  <w:style w:type="character" w:customStyle="1" w:styleId="18">
    <w:name w:val="标题 1 Char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文字 Char"/>
    <w:link w:val="4"/>
    <w:autoRedefine/>
    <w:semiHidden/>
    <w:qFormat/>
    <w:uiPriority w:val="99"/>
    <w:rPr>
      <w:rFonts w:ascii="等线" w:eastAsia="等线"/>
      <w:sz w:val="21"/>
      <w:szCs w:val="22"/>
    </w:rPr>
  </w:style>
  <w:style w:type="character" w:customStyle="1" w:styleId="20">
    <w:name w:val="正文文本 Char"/>
    <w:link w:val="5"/>
    <w:autoRedefine/>
    <w:qFormat/>
    <w:uiPriority w:val="0"/>
    <w:rPr>
      <w:rFonts w:ascii="Times New Roman" w:hAnsi="Times New Roman" w:eastAsia="宋体" w:cs="Times New Roman"/>
      <w:sz w:val="44"/>
      <w:szCs w:val="24"/>
      <w:lang w:val="zh-CN"/>
    </w:rPr>
  </w:style>
  <w:style w:type="character" w:customStyle="1" w:styleId="21">
    <w:name w:val="批注框文本 Char"/>
    <w:link w:val="6"/>
    <w:autoRedefine/>
    <w:qFormat/>
    <w:uiPriority w:val="0"/>
    <w:rPr>
      <w:sz w:val="18"/>
      <w:szCs w:val="18"/>
    </w:rPr>
  </w:style>
  <w:style w:type="character" w:customStyle="1" w:styleId="22">
    <w:name w:val="页脚 Char"/>
    <w:link w:val="7"/>
    <w:autoRedefine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3">
    <w:name w:val="页眉 Char"/>
    <w:link w:val="8"/>
    <w:autoRedefine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4">
    <w:name w:val="批注主题 Char"/>
    <w:link w:val="10"/>
    <w:autoRedefine/>
    <w:semiHidden/>
    <w:qFormat/>
    <w:uiPriority w:val="99"/>
    <w:rPr>
      <w:rFonts w:ascii="等线" w:eastAsia="等线"/>
      <w:b/>
      <w:bCs/>
      <w:kern w:val="2"/>
      <w:sz w:val="21"/>
      <w:szCs w:val="22"/>
    </w:rPr>
  </w:style>
  <w:style w:type="character" w:customStyle="1" w:styleId="25">
    <w:name w:val="正文首行缩进 Char"/>
    <w:link w:val="11"/>
    <w:autoRedefine/>
    <w:qFormat/>
    <w:uiPriority w:val="99"/>
    <w:rPr>
      <w:rFonts w:ascii="Times New Roman" w:hAnsi="Times New Roman" w:eastAsia="宋体" w:cs="Times New Roman"/>
      <w:kern w:val="2"/>
      <w:sz w:val="21"/>
      <w:szCs w:val="24"/>
      <w:lang w:val="zh-CN"/>
    </w:rPr>
  </w:style>
  <w:style w:type="paragraph" w:customStyle="1" w:styleId="26">
    <w:name w:val="_Style 16"/>
    <w:autoRedefine/>
    <w:unhideWhenUsed/>
    <w:qFormat/>
    <w:uiPriority w:val="99"/>
    <w:pPr>
      <w:widowControl w:val="0"/>
      <w:jc w:val="both"/>
    </w:pPr>
    <w:rPr>
      <w:rFonts w:ascii="等线" w:hAnsi="Calibri" w:eastAsia="等线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19</Pages>
  <Words>3290</Words>
  <Characters>18756</Characters>
  <Lines>156</Lines>
  <Paragraphs>44</Paragraphs>
  <TotalTime>15</TotalTime>
  <ScaleCrop>false</ScaleCrop>
  <LinksUpToDate>false</LinksUpToDate>
  <CharactersWithSpaces>22002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2023-03-09T07:08:00Z</dcterms:created>
  <dc:creator>梁之雨</dc:creator>
  <cp:lastModifiedBy>莫永壮</cp:lastModifiedBy>
  <dcterms:modified xsi:type="dcterms:W3CDTF">2024-04-24T07:26:54Z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8972463579EB4755A21B2CD6E796C292_13</vt:lpwstr>
  </property>
</Properties>
</file>