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附件1</w:t>
      </w:r>
    </w:p>
    <w:p>
      <w:pPr>
        <w:snapToGrid w:val="0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截至202</w:t>
      </w:r>
      <w:r>
        <w:rPr>
          <w:rFonts w:hint="eastAsia" w:ascii="Times New Roman" w:hAnsi="Times New Roman" w:eastAsia="方正小标宋简体"/>
          <w:sz w:val="44"/>
          <w:szCs w:val="44"/>
        </w:rPr>
        <w:t>2</w:t>
      </w:r>
      <w:r>
        <w:rPr>
          <w:rFonts w:ascii="Times New Roman" w:hAnsi="Times New Roman" w:eastAsia="方正小标宋简体"/>
          <w:sz w:val="44"/>
          <w:szCs w:val="44"/>
        </w:rPr>
        <w:t>年</w:t>
      </w:r>
      <w:bookmarkStart w:id="0" w:name="_GoBack"/>
      <w:bookmarkEnd w:id="0"/>
      <w:r>
        <w:rPr>
          <w:rFonts w:ascii="Times New Roman" w:hAnsi="Times New Roman" w:eastAsia="方正小标宋简体"/>
          <w:sz w:val="44"/>
          <w:szCs w:val="44"/>
        </w:rPr>
        <w:t>末发行的新增政府一般债券情况表</w:t>
      </w:r>
    </w:p>
    <w:p>
      <w:pPr>
        <w:snapToGrid w:val="0"/>
        <w:jc w:val="right"/>
        <w:rPr>
          <w:rFonts w:ascii="Times New Roman" w:hAnsi="Times New Roman" w:eastAsia="仿宋_GB2312"/>
          <w:sz w:val="30"/>
          <w:szCs w:val="30"/>
        </w:rPr>
      </w:pPr>
    </w:p>
    <w:p>
      <w:pPr>
        <w:snapToGrid w:val="0"/>
        <w:ind w:right="600"/>
        <w:jc w:val="right"/>
        <w:rPr>
          <w:rFonts w:ascii="Times New Roman" w:hAnsi="Times New Roman" w:eastAsia="仿宋_GB2312"/>
          <w:sz w:val="30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t>金额单位：万元</w:t>
      </w:r>
    </w:p>
    <w:tbl>
      <w:tblPr>
        <w:tblStyle w:val="6"/>
        <w:tblW w:w="1516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"/>
        <w:gridCol w:w="1003"/>
        <w:gridCol w:w="765"/>
        <w:gridCol w:w="765"/>
        <w:gridCol w:w="750"/>
        <w:gridCol w:w="855"/>
        <w:gridCol w:w="840"/>
        <w:gridCol w:w="825"/>
        <w:gridCol w:w="870"/>
        <w:gridCol w:w="765"/>
        <w:gridCol w:w="870"/>
        <w:gridCol w:w="900"/>
        <w:gridCol w:w="825"/>
        <w:gridCol w:w="915"/>
        <w:gridCol w:w="1215"/>
        <w:gridCol w:w="24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黑体"/>
                <w:sz w:val="24"/>
                <w:szCs w:val="24"/>
              </w:rPr>
            </w:pPr>
            <w:r>
              <w:rPr>
                <w:rFonts w:ascii="Times New Roman" w:hAnsi="Times New Roman" w:eastAsia="黑体"/>
                <w:sz w:val="24"/>
                <w:szCs w:val="24"/>
              </w:rPr>
              <w:t>部门名称</w:t>
            </w:r>
          </w:p>
        </w:tc>
        <w:tc>
          <w:tcPr>
            <w:tcW w:w="580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黑体"/>
                <w:sz w:val="24"/>
                <w:szCs w:val="24"/>
              </w:rPr>
            </w:pPr>
            <w:r>
              <w:rPr>
                <w:rFonts w:ascii="Times New Roman" w:hAnsi="Times New Roman" w:eastAsia="黑体"/>
                <w:sz w:val="24"/>
                <w:szCs w:val="24"/>
              </w:rPr>
              <w:t>债券信息</w:t>
            </w:r>
          </w:p>
        </w:tc>
        <w:tc>
          <w:tcPr>
            <w:tcW w:w="51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黑体"/>
                <w:sz w:val="24"/>
                <w:szCs w:val="24"/>
              </w:rPr>
            </w:pPr>
            <w:r>
              <w:rPr>
                <w:rFonts w:ascii="Times New Roman" w:hAnsi="Times New Roman" w:eastAsia="黑体"/>
                <w:sz w:val="24"/>
                <w:szCs w:val="24"/>
              </w:rPr>
              <w:t>债券项目情况</w:t>
            </w:r>
          </w:p>
        </w:tc>
        <w:tc>
          <w:tcPr>
            <w:tcW w:w="121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黑体"/>
                <w:sz w:val="24"/>
                <w:szCs w:val="24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4"/>
                <w:szCs w:val="24"/>
              </w:rPr>
              <w:t>建设进度及运营情况</w:t>
            </w:r>
          </w:p>
        </w:tc>
        <w:tc>
          <w:tcPr>
            <w:tcW w:w="24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黑体"/>
                <w:sz w:val="24"/>
                <w:szCs w:val="24"/>
              </w:rPr>
            </w:pPr>
            <w:r>
              <w:rPr>
                <w:rFonts w:ascii="Times New Roman" w:hAnsi="Times New Roman" w:eastAsia="黑体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/>
                <w:sz w:val="24"/>
                <w:szCs w:val="24"/>
              </w:rPr>
            </w:pPr>
          </w:p>
        </w:tc>
        <w:tc>
          <w:tcPr>
            <w:tcW w:w="100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黑体"/>
                <w:sz w:val="24"/>
                <w:szCs w:val="24"/>
              </w:rPr>
            </w:pPr>
            <w:r>
              <w:rPr>
                <w:rFonts w:ascii="Times New Roman" w:hAnsi="Times New Roman" w:eastAsia="黑体"/>
                <w:sz w:val="24"/>
                <w:szCs w:val="24"/>
              </w:rPr>
              <w:t>债券名称</w:t>
            </w:r>
          </w:p>
        </w:tc>
        <w:tc>
          <w:tcPr>
            <w:tcW w:w="7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黑体"/>
                <w:sz w:val="24"/>
                <w:szCs w:val="24"/>
              </w:rPr>
            </w:pPr>
            <w:r>
              <w:rPr>
                <w:rFonts w:ascii="Times New Roman" w:hAnsi="Times New Roman" w:eastAsia="黑体"/>
                <w:sz w:val="24"/>
                <w:szCs w:val="24"/>
              </w:rPr>
              <w:t>债券编码</w:t>
            </w:r>
          </w:p>
        </w:tc>
        <w:tc>
          <w:tcPr>
            <w:tcW w:w="7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黑体"/>
                <w:sz w:val="24"/>
                <w:szCs w:val="24"/>
              </w:rPr>
            </w:pPr>
            <w:r>
              <w:rPr>
                <w:rFonts w:ascii="Times New Roman" w:hAnsi="Times New Roman" w:eastAsia="黑体"/>
                <w:sz w:val="24"/>
                <w:szCs w:val="24"/>
              </w:rPr>
              <w:t>债券类型</w:t>
            </w:r>
          </w:p>
        </w:tc>
        <w:tc>
          <w:tcPr>
            <w:tcW w:w="7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黑体"/>
                <w:sz w:val="24"/>
                <w:szCs w:val="24"/>
              </w:rPr>
            </w:pPr>
            <w:r>
              <w:rPr>
                <w:rFonts w:ascii="Times New Roman" w:hAnsi="Times New Roman" w:eastAsia="黑体"/>
                <w:sz w:val="24"/>
                <w:szCs w:val="24"/>
              </w:rPr>
              <w:t>债券</w:t>
            </w:r>
          </w:p>
          <w:p>
            <w:pPr>
              <w:snapToGrid w:val="0"/>
              <w:jc w:val="center"/>
              <w:rPr>
                <w:rFonts w:ascii="Times New Roman" w:hAnsi="Times New Roman" w:eastAsia="黑体"/>
                <w:sz w:val="24"/>
                <w:szCs w:val="24"/>
              </w:rPr>
            </w:pPr>
            <w:r>
              <w:rPr>
                <w:rFonts w:ascii="Times New Roman" w:hAnsi="Times New Roman" w:eastAsia="黑体"/>
                <w:sz w:val="24"/>
                <w:szCs w:val="24"/>
              </w:rPr>
              <w:t>规模</w:t>
            </w:r>
          </w:p>
          <w:p>
            <w:pPr>
              <w:snapToGrid w:val="0"/>
              <w:jc w:val="center"/>
              <w:rPr>
                <w:rFonts w:ascii="Times New Roman" w:hAnsi="Times New Roman" w:eastAsia="黑体"/>
                <w:spacing w:val="-2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spacing w:val="-20"/>
                <w:sz w:val="24"/>
                <w:szCs w:val="24"/>
              </w:rPr>
              <w:t>（万元）</w:t>
            </w:r>
          </w:p>
        </w:tc>
        <w:tc>
          <w:tcPr>
            <w:tcW w:w="8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黑体"/>
                <w:sz w:val="24"/>
                <w:szCs w:val="24"/>
              </w:rPr>
            </w:pPr>
            <w:r>
              <w:rPr>
                <w:rFonts w:ascii="Times New Roman" w:hAnsi="Times New Roman" w:eastAsia="黑体"/>
                <w:sz w:val="24"/>
                <w:szCs w:val="24"/>
              </w:rPr>
              <w:t>发行时间</w:t>
            </w:r>
          </w:p>
          <w:p>
            <w:pPr>
              <w:snapToGrid w:val="0"/>
              <w:jc w:val="center"/>
              <w:rPr>
                <w:rFonts w:ascii="Times New Roman" w:hAnsi="Times New Roman" w:eastAsia="黑体"/>
                <w:spacing w:val="-2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spacing w:val="-20"/>
                <w:sz w:val="24"/>
                <w:szCs w:val="24"/>
              </w:rPr>
              <w:t>（年/月/日）</w:t>
            </w:r>
          </w:p>
        </w:tc>
        <w:tc>
          <w:tcPr>
            <w:tcW w:w="8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黑体"/>
                <w:sz w:val="24"/>
                <w:szCs w:val="24"/>
              </w:rPr>
            </w:pPr>
            <w:r>
              <w:rPr>
                <w:rFonts w:ascii="Times New Roman" w:hAnsi="Times New Roman" w:eastAsia="黑体"/>
                <w:sz w:val="24"/>
                <w:szCs w:val="24"/>
              </w:rPr>
              <w:t>债券</w:t>
            </w:r>
          </w:p>
          <w:p>
            <w:pPr>
              <w:snapToGrid w:val="0"/>
              <w:jc w:val="center"/>
              <w:rPr>
                <w:rFonts w:ascii="Times New Roman" w:hAnsi="Times New Roman" w:eastAsia="黑体"/>
                <w:sz w:val="24"/>
                <w:szCs w:val="24"/>
              </w:rPr>
            </w:pPr>
            <w:r>
              <w:rPr>
                <w:rFonts w:ascii="Times New Roman" w:hAnsi="Times New Roman" w:eastAsia="黑体"/>
                <w:sz w:val="24"/>
                <w:szCs w:val="24"/>
              </w:rPr>
              <w:t>利率</w:t>
            </w:r>
          </w:p>
          <w:p>
            <w:pPr>
              <w:snapToGrid w:val="0"/>
              <w:jc w:val="center"/>
              <w:rPr>
                <w:rFonts w:ascii="Times New Roman" w:hAnsi="Times New Roman" w:eastAsia="黑体"/>
                <w:sz w:val="24"/>
                <w:szCs w:val="24"/>
              </w:rPr>
            </w:pPr>
            <w:r>
              <w:rPr>
                <w:rFonts w:ascii="Times New Roman" w:hAnsi="Times New Roman" w:eastAsia="黑体"/>
                <w:sz w:val="24"/>
                <w:szCs w:val="24"/>
              </w:rPr>
              <w:t>（%）</w:t>
            </w:r>
          </w:p>
        </w:tc>
        <w:tc>
          <w:tcPr>
            <w:tcW w:w="82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黑体"/>
                <w:sz w:val="24"/>
                <w:szCs w:val="24"/>
              </w:rPr>
            </w:pPr>
            <w:r>
              <w:rPr>
                <w:rFonts w:ascii="Times New Roman" w:hAnsi="Times New Roman" w:eastAsia="黑体"/>
                <w:sz w:val="24"/>
                <w:szCs w:val="24"/>
              </w:rPr>
              <w:t>债券</w:t>
            </w:r>
          </w:p>
          <w:p>
            <w:pPr>
              <w:snapToGrid w:val="0"/>
              <w:jc w:val="center"/>
              <w:rPr>
                <w:rFonts w:ascii="Times New Roman" w:hAnsi="Times New Roman" w:eastAsia="黑体"/>
                <w:sz w:val="24"/>
                <w:szCs w:val="24"/>
              </w:rPr>
            </w:pPr>
            <w:r>
              <w:rPr>
                <w:rFonts w:ascii="Times New Roman" w:hAnsi="Times New Roman" w:eastAsia="黑体"/>
                <w:sz w:val="24"/>
                <w:szCs w:val="24"/>
              </w:rPr>
              <w:t>期限</w:t>
            </w:r>
          </w:p>
          <w:p>
            <w:pPr>
              <w:snapToGrid w:val="0"/>
              <w:jc w:val="center"/>
              <w:rPr>
                <w:rFonts w:ascii="Times New Roman" w:hAnsi="Times New Roman" w:eastAsia="黑体"/>
                <w:sz w:val="24"/>
                <w:szCs w:val="24"/>
              </w:rPr>
            </w:pPr>
            <w:r>
              <w:rPr>
                <w:rFonts w:ascii="Times New Roman" w:hAnsi="Times New Roman" w:eastAsia="黑体"/>
                <w:sz w:val="24"/>
                <w:szCs w:val="24"/>
              </w:rPr>
              <w:t>（年）</w:t>
            </w:r>
          </w:p>
        </w:tc>
        <w:tc>
          <w:tcPr>
            <w:tcW w:w="87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黑体"/>
                <w:sz w:val="24"/>
                <w:szCs w:val="24"/>
              </w:rPr>
            </w:pPr>
            <w:r>
              <w:rPr>
                <w:rFonts w:ascii="Times New Roman" w:hAnsi="Times New Roman" w:eastAsia="黑体"/>
                <w:sz w:val="24"/>
                <w:szCs w:val="24"/>
              </w:rPr>
              <w:t>项目名称</w:t>
            </w:r>
          </w:p>
        </w:tc>
        <w:tc>
          <w:tcPr>
            <w:tcW w:w="76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黑体"/>
                <w:sz w:val="24"/>
                <w:szCs w:val="24"/>
              </w:rPr>
            </w:pPr>
            <w:r>
              <w:rPr>
                <w:rFonts w:ascii="Times New Roman" w:hAnsi="Times New Roman" w:eastAsia="黑体"/>
                <w:sz w:val="24"/>
                <w:szCs w:val="24"/>
              </w:rPr>
              <w:t>项目所在地区</w:t>
            </w:r>
          </w:p>
        </w:tc>
        <w:tc>
          <w:tcPr>
            <w:tcW w:w="1770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黑体"/>
                <w:sz w:val="24"/>
                <w:szCs w:val="24"/>
              </w:rPr>
            </w:pPr>
            <w:r>
              <w:rPr>
                <w:rFonts w:ascii="Times New Roman" w:hAnsi="Times New Roman" w:eastAsia="黑体"/>
                <w:sz w:val="24"/>
                <w:szCs w:val="24"/>
              </w:rPr>
              <w:t>项目总投资</w:t>
            </w:r>
          </w:p>
        </w:tc>
        <w:tc>
          <w:tcPr>
            <w:tcW w:w="1740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黑体"/>
                <w:sz w:val="24"/>
                <w:szCs w:val="24"/>
              </w:rPr>
            </w:pPr>
            <w:r>
              <w:rPr>
                <w:rFonts w:ascii="Times New Roman" w:hAnsi="Times New Roman" w:eastAsia="黑体"/>
                <w:sz w:val="24"/>
                <w:szCs w:val="24"/>
              </w:rPr>
              <w:t>项目已实现投资</w:t>
            </w:r>
          </w:p>
        </w:tc>
        <w:tc>
          <w:tcPr>
            <w:tcW w:w="1215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Times New Roman" w:hAnsi="Times New Roman" w:eastAsia="黑体"/>
                <w:sz w:val="24"/>
                <w:szCs w:val="24"/>
              </w:rPr>
            </w:pPr>
          </w:p>
        </w:tc>
        <w:tc>
          <w:tcPr>
            <w:tcW w:w="24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/>
                <w:sz w:val="24"/>
                <w:szCs w:val="24"/>
              </w:rPr>
            </w:pPr>
          </w:p>
        </w:tc>
        <w:tc>
          <w:tcPr>
            <w:tcW w:w="10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/>
                <w:sz w:val="24"/>
                <w:szCs w:val="24"/>
              </w:rPr>
            </w:pPr>
          </w:p>
        </w:tc>
        <w:tc>
          <w:tcPr>
            <w:tcW w:w="7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/>
                <w:sz w:val="24"/>
                <w:szCs w:val="24"/>
              </w:rPr>
            </w:pPr>
          </w:p>
        </w:tc>
        <w:tc>
          <w:tcPr>
            <w:tcW w:w="7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/>
                <w:sz w:val="24"/>
                <w:szCs w:val="24"/>
              </w:rPr>
            </w:pPr>
          </w:p>
        </w:tc>
        <w:tc>
          <w:tcPr>
            <w:tcW w:w="7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/>
                <w:spacing w:val="-20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/>
                <w:spacing w:val="-20"/>
                <w:sz w:val="24"/>
                <w:szCs w:val="24"/>
              </w:rPr>
            </w:pPr>
          </w:p>
        </w:tc>
        <w:tc>
          <w:tcPr>
            <w:tcW w:w="8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/>
                <w:sz w:val="24"/>
                <w:szCs w:val="24"/>
              </w:rPr>
            </w:pPr>
          </w:p>
        </w:tc>
        <w:tc>
          <w:tcPr>
            <w:tcW w:w="82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/>
                <w:sz w:val="24"/>
                <w:szCs w:val="24"/>
              </w:rPr>
            </w:pPr>
          </w:p>
        </w:tc>
        <w:tc>
          <w:tcPr>
            <w:tcW w:w="87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/>
                <w:sz w:val="24"/>
                <w:szCs w:val="24"/>
              </w:rPr>
            </w:pPr>
          </w:p>
        </w:tc>
        <w:tc>
          <w:tcPr>
            <w:tcW w:w="76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黑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黑体"/>
                <w:sz w:val="24"/>
                <w:szCs w:val="24"/>
              </w:rPr>
            </w:pPr>
            <w:r>
              <w:rPr>
                <w:rFonts w:ascii="Times New Roman" w:hAnsi="Times New Roman" w:eastAsia="黑体"/>
                <w:sz w:val="24"/>
                <w:szCs w:val="24"/>
              </w:rPr>
              <w:t>其中：债券资金安排</w:t>
            </w:r>
          </w:p>
        </w:tc>
        <w:tc>
          <w:tcPr>
            <w:tcW w:w="8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黑体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黑体"/>
                <w:sz w:val="24"/>
                <w:szCs w:val="24"/>
              </w:rPr>
            </w:pPr>
            <w:r>
              <w:rPr>
                <w:rFonts w:ascii="Times New Roman" w:hAnsi="Times New Roman" w:eastAsia="黑体"/>
                <w:sz w:val="24"/>
                <w:szCs w:val="24"/>
              </w:rPr>
              <w:t>其中：债券资金安排</w:t>
            </w:r>
          </w:p>
        </w:tc>
        <w:tc>
          <w:tcPr>
            <w:tcW w:w="121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Times New Roman" w:hAnsi="Times New Roman" w:eastAsia="黑体"/>
                <w:sz w:val="24"/>
                <w:szCs w:val="24"/>
              </w:rPr>
            </w:pPr>
          </w:p>
        </w:tc>
        <w:tc>
          <w:tcPr>
            <w:tcW w:w="24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left"/>
              <w:rPr>
                <w:rFonts w:hint="eastAsia" w:ascii="Times New Roman" w:hAnsi="Times New Roman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  <w:lang w:eastAsia="zh-CN"/>
              </w:rPr>
              <w:t>南宁市教育局</w:t>
            </w:r>
          </w:p>
        </w:tc>
        <w:tc>
          <w:tcPr>
            <w:tcW w:w="10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left"/>
              <w:rPr>
                <w:rFonts w:hint="eastAsia" w:ascii="Times New Roman" w:hAnsi="Times New Roman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  <w:lang w:eastAsia="zh-CN"/>
              </w:rPr>
              <w:t>2022年广西壮族自治区政府一般债券（二期）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left"/>
              <w:rPr>
                <w:rFonts w:hint="eastAsia" w:ascii="Times New Roman" w:hAnsi="Times New Roman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  <w:lang w:eastAsia="zh-CN"/>
              </w:rPr>
              <w:t>2205414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left"/>
              <w:rPr>
                <w:rFonts w:hint="eastAsia" w:ascii="Times New Roman" w:hAnsi="Times New Roman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  <w:lang w:eastAsia="zh-CN"/>
              </w:rPr>
              <w:t>一般债券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left"/>
              <w:rPr>
                <w:rFonts w:hint="eastAsia" w:ascii="Times New Roman" w:hAnsi="Times New Roman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  <w:lang w:val="en-US" w:eastAsia="zh-CN"/>
              </w:rPr>
              <w:t>5200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left"/>
              <w:rPr>
                <w:rFonts w:hint="default" w:ascii="Times New Roman" w:hAnsi="Times New Roman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  <w:lang w:val="en-US" w:eastAsia="zh-CN"/>
              </w:rPr>
              <w:t>2022.3.16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left"/>
              <w:rPr>
                <w:rFonts w:hint="default" w:ascii="Times New Roman" w:hAnsi="Times New Roman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  <w:lang w:val="en-US" w:eastAsia="zh-CN"/>
              </w:rPr>
              <w:t>2.96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left"/>
              <w:rPr>
                <w:rFonts w:hint="default" w:ascii="Times New Roman" w:hAnsi="Times New Roman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left"/>
              <w:rPr>
                <w:rFonts w:hint="eastAsia" w:ascii="Times New Roman" w:hAnsi="Times New Roman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  <w:lang w:eastAsia="zh-CN"/>
              </w:rPr>
              <w:t>南宁市本级义务教育薄弱环节改善与能力提升项目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left"/>
              <w:rPr>
                <w:rFonts w:hint="eastAsia" w:ascii="Times New Roman" w:hAnsi="Times New Roman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  <w:lang w:eastAsia="zh-CN"/>
              </w:rPr>
              <w:t>南宁市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left"/>
              <w:rPr>
                <w:rFonts w:hint="default" w:ascii="Times New Roman" w:hAnsi="Times New Roman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  <w:lang w:val="en-US" w:eastAsia="zh-CN"/>
              </w:rPr>
              <w:t>27929.47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left"/>
              <w:rPr>
                <w:rFonts w:hint="eastAsia" w:ascii="Times New Roman" w:hAnsi="Times New Roman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  <w:lang w:eastAsia="zh-CN"/>
              </w:rPr>
              <w:t>5200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left"/>
              <w:rPr>
                <w:rFonts w:hint="eastAsia" w:ascii="Times New Roman" w:hAnsi="Times New Roman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  <w:lang w:eastAsia="zh-CN"/>
              </w:rPr>
              <w:t>13787.556726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left"/>
              <w:rPr>
                <w:rFonts w:hint="eastAsia" w:ascii="Times New Roman" w:hAnsi="Times New Roman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  <w:lang w:eastAsia="zh-CN"/>
              </w:rPr>
              <w:t>5193</w:t>
            </w:r>
            <w:r>
              <w:rPr>
                <w:rFonts w:hint="eastAsia" w:ascii="Times New Roman" w:hAnsi="Times New Roman" w:eastAsia="仿宋_GB2312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Times New Roman" w:hAnsi="Times New Roman" w:eastAsia="仿宋_GB2312"/>
                <w:sz w:val="24"/>
                <w:szCs w:val="24"/>
                <w:lang w:eastAsia="zh-CN"/>
              </w:rPr>
              <w:t>878017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exact"/>
              <w:jc w:val="left"/>
              <w:rPr>
                <w:rFonts w:hint="eastAsia" w:ascii="Times New Roman" w:hAnsi="Times New Roman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  <w:lang w:eastAsia="zh-CN"/>
              </w:rPr>
              <w:t>除南宁市第二中学新民校区（初中部）扩建项目及南宁市天桃实验学校拆旧建新项目在建外，其余项目已投入使用</w:t>
            </w:r>
          </w:p>
        </w:tc>
        <w:tc>
          <w:tcPr>
            <w:tcW w:w="2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20" w:lineRule="exact"/>
              <w:jc w:val="left"/>
              <w:rPr>
                <w:rFonts w:hint="eastAsia" w:ascii="Times New Roman" w:hAnsi="Times New Roman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  <w:lang w:eastAsia="zh-CN"/>
              </w:rPr>
              <w:t>南宁市第二中学新民校区（初中部）扩建项目、南宁市天桃实验学校拆旧建新项目、南宁市外国语学校篮球场及宿舍楼维修、南宁市第八中学初中部学生宿舍楼及实验楼维修改造、南宁市第二十四中学科技教育劳动实践基地、南宁市第十九中学跳绳训练基地、南宁市特殊教育学校劳动教育基地、南宁三中青秀校区教学楼改造、南宁市第一中学扩建工程、南宁市第九中学田径运动场改造</w:t>
            </w:r>
          </w:p>
        </w:tc>
      </w:tr>
    </w:tbl>
    <w:p>
      <w:pPr>
        <w:snapToGrid w:val="0"/>
        <w:spacing w:line="600" w:lineRule="exact"/>
        <w:ind w:left="840" w:hanging="840" w:hangingChars="300"/>
        <w:jc w:val="left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注：1.本表由使用一般债券资金的部门逐笔填列后于每年6月底前公开，本次反映20</w:t>
      </w:r>
      <w:r>
        <w:rPr>
          <w:rFonts w:hint="eastAsia" w:ascii="Times New Roman" w:hAnsi="Times New Roman" w:eastAsia="仿宋_GB2312"/>
          <w:sz w:val="28"/>
          <w:szCs w:val="28"/>
        </w:rPr>
        <w:t>21</w:t>
      </w:r>
      <w:r>
        <w:rPr>
          <w:rFonts w:ascii="Times New Roman" w:hAnsi="Times New Roman" w:eastAsia="仿宋_GB2312"/>
          <w:sz w:val="28"/>
          <w:szCs w:val="28"/>
        </w:rPr>
        <w:t>-202</w:t>
      </w:r>
      <w:r>
        <w:rPr>
          <w:rFonts w:hint="eastAsia" w:ascii="Times New Roman" w:hAnsi="Times New Roman" w:eastAsia="仿宋_GB2312"/>
          <w:sz w:val="28"/>
          <w:szCs w:val="28"/>
        </w:rPr>
        <w:t>2</w:t>
      </w:r>
      <w:r>
        <w:rPr>
          <w:rFonts w:ascii="Times New Roman" w:hAnsi="Times New Roman" w:eastAsia="仿宋_GB2312"/>
          <w:sz w:val="28"/>
          <w:szCs w:val="28"/>
        </w:rPr>
        <w:t>年末一般债券及对应项目情况。</w:t>
      </w:r>
    </w:p>
    <w:p>
      <w:pPr>
        <w:widowControl/>
        <w:jc w:val="left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2.项目所在地区按照标准行政区划名称填写。</w:t>
      </w:r>
    </w:p>
    <w:sectPr>
      <w:footerReference r:id="rId4" w:type="first"/>
      <w:footerReference r:id="rId3" w:type="default"/>
      <w:pgSz w:w="16838" w:h="11906" w:orient="landscape"/>
      <w:pgMar w:top="1587" w:right="1304" w:bottom="1417" w:left="1247" w:header="851" w:footer="992" w:gutter="0"/>
      <w:paperSrc/>
      <w:cols w:space="0" w:num="1"/>
      <w:titlePg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decorative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270"/>
      <w:jc w:val="right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>—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 w:eastAsia="zh-CN"/>
      </w:rPr>
      <w:t>12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trackRevisions w:val="1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6F21"/>
    <w:rsid w:val="00005BC1"/>
    <w:rsid w:val="00173470"/>
    <w:rsid w:val="00707492"/>
    <w:rsid w:val="00767542"/>
    <w:rsid w:val="008E6F21"/>
    <w:rsid w:val="00D82229"/>
    <w:rsid w:val="0F074803"/>
    <w:rsid w:val="23C770D8"/>
    <w:rsid w:val="2B777FAA"/>
    <w:rsid w:val="2D5A1F76"/>
    <w:rsid w:val="3D3E2FCC"/>
    <w:rsid w:val="3F2B08B6"/>
    <w:rsid w:val="4D675522"/>
    <w:rsid w:val="5618008C"/>
    <w:rsid w:val="564A21CE"/>
    <w:rsid w:val="5A945002"/>
    <w:rsid w:val="5F3015D3"/>
    <w:rsid w:val="60E45A27"/>
    <w:rsid w:val="685178D0"/>
    <w:rsid w:val="6EF96A27"/>
    <w:rsid w:val="727E6005"/>
    <w:rsid w:val="7C7461D1"/>
    <w:rsid w:val="7CEB6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sz w:val="2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5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11</Pages>
  <Words>558</Words>
  <Characters>3181</Characters>
  <Lines>26</Lines>
  <Paragraphs>7</Paragraphs>
  <TotalTime>12</TotalTime>
  <ScaleCrop>false</ScaleCrop>
  <LinksUpToDate>false</LinksUpToDate>
  <CharactersWithSpaces>3732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2023-06-14T00:51:00Z</dcterms:created>
  <dc:creator>蒙柳玉</dc:creator>
  <cp:lastModifiedBy>Administrator</cp:lastModifiedBy>
  <cp:lastPrinted>2023-06-19T00:58:00Z</cp:lastPrinted>
  <dcterms:modified xsi:type="dcterms:W3CDTF">2023-06-21T12:18:54Z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