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text" w:horzAnchor="page" w:tblpX="1183" w:tblpY="600"/>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8"/>
        <w:gridCol w:w="513"/>
        <w:gridCol w:w="8262"/>
        <w:gridCol w:w="2024"/>
        <w:gridCol w:w="316"/>
        <w:gridCol w:w="1800"/>
        <w:gridCol w:w="7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913" w:type="pct"/>
          <w:trHeight w:val="405" w:hRule="atLeast"/>
        </w:trPr>
        <w:tc>
          <w:tcPr>
            <w:tcW w:w="346" w:type="pct"/>
            <w:gridSpan w:val="2"/>
            <w:tcBorders>
              <w:top w:val="nil"/>
              <w:left w:val="nil"/>
              <w:bottom w:val="nil"/>
              <w:right w:val="nil"/>
            </w:tcBorders>
            <w:shd w:val="clear" w:color="auto" w:fill="auto"/>
            <w:noWrap/>
            <w:vAlign w:val="center"/>
          </w:tcPr>
          <w:p>
            <w:pPr>
              <w:rPr>
                <w:rFonts w:hint="default" w:ascii="宋体" w:hAnsi="宋体" w:eastAsia="宋体" w:cs="宋体"/>
                <w:i w:val="0"/>
                <w:iCs w:val="0"/>
                <w:color w:val="auto"/>
                <w:sz w:val="22"/>
                <w:szCs w:val="22"/>
                <w:u w:val="none"/>
                <w:lang w:val="en-US" w:eastAsia="zh-CN"/>
              </w:rPr>
            </w:pPr>
            <w:r>
              <w:rPr>
                <w:rFonts w:hint="eastAsia" w:ascii="宋体" w:hAnsi="宋体" w:eastAsia="宋体" w:cs="宋体"/>
                <w:b/>
                <w:bCs/>
                <w:i w:val="0"/>
                <w:iCs w:val="0"/>
                <w:color w:val="auto"/>
                <w:sz w:val="22"/>
                <w:szCs w:val="22"/>
                <w:u w:val="none"/>
                <w:lang w:val="en-US" w:eastAsia="zh-CN"/>
              </w:rPr>
              <w:t>附件</w:t>
            </w:r>
          </w:p>
        </w:tc>
        <w:tc>
          <w:tcPr>
            <w:tcW w:w="2914" w:type="pct"/>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2"/>
                <w:szCs w:val="22"/>
                <w:u w:val="none"/>
              </w:rPr>
            </w:pPr>
          </w:p>
        </w:tc>
        <w:tc>
          <w:tcPr>
            <w:tcW w:w="713" w:type="pct"/>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2"/>
                <w:szCs w:val="22"/>
                <w:u w:val="none"/>
              </w:rPr>
            </w:pPr>
          </w:p>
        </w:tc>
        <w:tc>
          <w:tcPr>
            <w:tcW w:w="111" w:type="pct"/>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4086" w:type="pct"/>
            <w:gridSpan w:val="5"/>
            <w:tcBorders>
              <w:top w:val="nil"/>
              <w:left w:val="nil"/>
              <w:bottom w:val="nil"/>
              <w:right w:val="nil"/>
            </w:tcBorders>
            <w:shd w:val="clear" w:color="auto" w:fill="auto"/>
            <w:vAlign w:val="top"/>
          </w:tcPr>
          <w:p>
            <w:pPr>
              <w:keepNext w:val="0"/>
              <w:keepLines w:val="0"/>
              <w:widowControl/>
              <w:suppressLineNumbers w:val="0"/>
              <w:jc w:val="center"/>
              <w:textAlignment w:val="top"/>
              <w:rPr>
                <w:rFonts w:hint="eastAsia" w:ascii="方正小标宋简体" w:hAnsi="方正小标宋简体" w:eastAsia="方正小标宋简体" w:cs="方正小标宋简体"/>
                <w:i w:val="0"/>
                <w:iCs w:val="0"/>
                <w:color w:val="auto"/>
                <w:kern w:val="0"/>
                <w:sz w:val="36"/>
                <w:szCs w:val="36"/>
                <w:u w:val="none"/>
                <w:lang w:val="en-US" w:eastAsia="zh-CN" w:bidi="ar"/>
              </w:rPr>
            </w:pPr>
            <w:r>
              <w:rPr>
                <w:rFonts w:hint="eastAsia" w:ascii="方正小标宋简体" w:hAnsi="方正小标宋简体" w:eastAsia="方正小标宋简体" w:cs="方正小标宋简体"/>
                <w:i w:val="0"/>
                <w:iCs w:val="0"/>
                <w:color w:val="auto"/>
                <w:kern w:val="0"/>
                <w:sz w:val="36"/>
                <w:szCs w:val="36"/>
                <w:u w:val="none"/>
                <w:lang w:val="en-US" w:eastAsia="zh-CN" w:bidi="ar"/>
              </w:rPr>
              <w:t xml:space="preserve">         《南宁市中小学劳动教育指导意见（征求意见稿）》</w:t>
            </w:r>
          </w:p>
          <w:p>
            <w:pPr>
              <w:keepNext w:val="0"/>
              <w:keepLines w:val="0"/>
              <w:widowControl/>
              <w:suppressLineNumbers w:val="0"/>
              <w:jc w:val="center"/>
              <w:textAlignment w:val="top"/>
              <w:rPr>
                <w:rFonts w:hint="default" w:ascii="方正小标宋简体" w:hAnsi="方正小标宋简体" w:eastAsia="方正小标宋简体" w:cs="方正小标宋简体"/>
                <w:i w:val="0"/>
                <w:iCs w:val="0"/>
                <w:color w:val="auto"/>
                <w:sz w:val="36"/>
                <w:szCs w:val="36"/>
                <w:u w:val="none"/>
                <w:lang w:val="en-US"/>
              </w:rPr>
            </w:pPr>
            <w:bookmarkStart w:id="0" w:name="_GoBack"/>
            <w:bookmarkEnd w:id="0"/>
            <w:r>
              <w:rPr>
                <w:rFonts w:hint="eastAsia" w:ascii="方正小标宋简体" w:hAnsi="方正小标宋简体" w:eastAsia="方正小标宋简体" w:cs="方正小标宋简体"/>
                <w:i w:val="0"/>
                <w:iCs w:val="0"/>
                <w:color w:val="auto"/>
                <w:kern w:val="0"/>
                <w:sz w:val="36"/>
                <w:szCs w:val="36"/>
                <w:u w:val="none"/>
                <w:lang w:val="en-US" w:eastAsia="zh-CN" w:bidi="ar"/>
              </w:rPr>
              <w:t>征集意见采纳情况</w:t>
            </w:r>
          </w:p>
        </w:tc>
        <w:tc>
          <w:tcPr>
            <w:tcW w:w="634" w:type="pct"/>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2"/>
                <w:szCs w:val="22"/>
                <w:u w:val="none"/>
              </w:rPr>
            </w:pPr>
          </w:p>
        </w:tc>
        <w:tc>
          <w:tcPr>
            <w:tcW w:w="279" w:type="pct"/>
            <w:tcBorders>
              <w:top w:val="nil"/>
              <w:left w:val="nil"/>
              <w:bottom w:val="nil"/>
              <w:right w:val="nil"/>
            </w:tcBorders>
            <w:shd w:val="clear" w:color="auto" w:fill="auto"/>
            <w:noWrap/>
            <w:vAlign w:val="center"/>
          </w:tcPr>
          <w:p>
            <w:pP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7" w:hRule="atLeast"/>
        </w:trPr>
        <w:tc>
          <w:tcPr>
            <w:tcW w:w="165"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b/>
                <w:bCs/>
                <w:i w:val="0"/>
                <w:iCs w:val="0"/>
                <w:color w:val="auto"/>
                <w:sz w:val="28"/>
                <w:szCs w:val="28"/>
                <w:u w:val="none"/>
              </w:rPr>
            </w:pPr>
            <w:r>
              <w:rPr>
                <w:rFonts w:hint="eastAsia" w:ascii="宋体" w:hAnsi="宋体" w:eastAsia="宋体" w:cs="宋体"/>
                <w:b/>
                <w:bCs/>
                <w:i w:val="0"/>
                <w:iCs w:val="0"/>
                <w:color w:val="auto"/>
                <w:kern w:val="0"/>
                <w:sz w:val="28"/>
                <w:szCs w:val="28"/>
                <w:u w:val="none"/>
                <w:lang w:val="en-US" w:eastAsia="zh-CN" w:bidi="ar"/>
              </w:rPr>
              <w:t>序号</w:t>
            </w:r>
          </w:p>
        </w:tc>
        <w:tc>
          <w:tcPr>
            <w:tcW w:w="180"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b/>
                <w:bCs/>
                <w:i w:val="0"/>
                <w:iCs w:val="0"/>
                <w:color w:val="auto"/>
                <w:sz w:val="28"/>
                <w:szCs w:val="28"/>
                <w:u w:val="none"/>
              </w:rPr>
            </w:pPr>
            <w:r>
              <w:rPr>
                <w:rFonts w:hint="eastAsia" w:ascii="宋体" w:hAnsi="宋体" w:eastAsia="宋体" w:cs="宋体"/>
                <w:b/>
                <w:bCs/>
                <w:i w:val="0"/>
                <w:iCs w:val="0"/>
                <w:color w:val="auto"/>
                <w:kern w:val="0"/>
                <w:sz w:val="28"/>
                <w:szCs w:val="28"/>
                <w:u w:val="none"/>
                <w:lang w:val="en-US" w:eastAsia="zh-CN" w:bidi="ar"/>
              </w:rPr>
              <w:t>单位</w:t>
            </w:r>
          </w:p>
        </w:tc>
        <w:tc>
          <w:tcPr>
            <w:tcW w:w="29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b/>
                <w:bCs/>
                <w:i w:val="0"/>
                <w:iCs w:val="0"/>
                <w:color w:val="auto"/>
                <w:sz w:val="28"/>
                <w:szCs w:val="28"/>
                <w:u w:val="none"/>
              </w:rPr>
            </w:pPr>
            <w:r>
              <w:rPr>
                <w:rFonts w:hint="eastAsia" w:ascii="宋体" w:hAnsi="宋体" w:eastAsia="宋体" w:cs="宋体"/>
                <w:b/>
                <w:bCs/>
                <w:i w:val="0"/>
                <w:iCs w:val="0"/>
                <w:color w:val="auto"/>
                <w:kern w:val="0"/>
                <w:sz w:val="28"/>
                <w:szCs w:val="28"/>
                <w:u w:val="none"/>
                <w:lang w:val="en-US" w:eastAsia="zh-CN" w:bidi="ar"/>
              </w:rPr>
              <w:t>修改意见</w:t>
            </w:r>
          </w:p>
        </w:tc>
        <w:tc>
          <w:tcPr>
            <w:tcW w:w="825" w:type="pct"/>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b/>
                <w:bCs/>
                <w:i w:val="0"/>
                <w:iCs w:val="0"/>
                <w:color w:val="auto"/>
                <w:sz w:val="28"/>
                <w:szCs w:val="28"/>
                <w:u w:val="none"/>
              </w:rPr>
            </w:pPr>
            <w:r>
              <w:rPr>
                <w:rFonts w:hint="eastAsia" w:ascii="宋体" w:hAnsi="宋体" w:eastAsia="宋体" w:cs="宋体"/>
                <w:b/>
                <w:bCs/>
                <w:i w:val="0"/>
                <w:iCs w:val="0"/>
                <w:color w:val="auto"/>
                <w:kern w:val="0"/>
                <w:sz w:val="28"/>
                <w:szCs w:val="28"/>
                <w:u w:val="none"/>
                <w:lang w:val="en-US" w:eastAsia="zh-CN" w:bidi="ar"/>
              </w:rPr>
              <w:t>理由或依据</w:t>
            </w: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auto"/>
                <w:sz w:val="28"/>
                <w:szCs w:val="28"/>
                <w:u w:val="none"/>
              </w:rPr>
            </w:pPr>
            <w:r>
              <w:rPr>
                <w:rFonts w:hint="eastAsia" w:ascii="仿宋_GB2312" w:hAnsi="宋体" w:eastAsia="仿宋_GB2312" w:cs="仿宋_GB2312"/>
                <w:b/>
                <w:bCs/>
                <w:i w:val="0"/>
                <w:iCs w:val="0"/>
                <w:color w:val="auto"/>
                <w:kern w:val="0"/>
                <w:sz w:val="28"/>
                <w:szCs w:val="28"/>
                <w:u w:val="none"/>
                <w:lang w:val="en-US" w:eastAsia="zh-CN" w:bidi="ar"/>
              </w:rPr>
              <w:t>是否采纳</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auto"/>
                <w:sz w:val="28"/>
                <w:szCs w:val="28"/>
                <w:u w:val="none"/>
              </w:rPr>
            </w:pPr>
            <w:r>
              <w:rPr>
                <w:rFonts w:hint="eastAsia" w:ascii="仿宋_GB2312" w:hAnsi="宋体" w:eastAsia="仿宋_GB2312" w:cs="仿宋_GB2312"/>
                <w:b/>
                <w:bCs/>
                <w:i w:val="0"/>
                <w:iCs w:val="0"/>
                <w:color w:val="auto"/>
                <w:kern w:val="0"/>
                <w:sz w:val="28"/>
                <w:szCs w:val="28"/>
                <w:u w:val="none"/>
                <w:lang w:val="en-US" w:eastAsia="zh-CN" w:bidi="ar"/>
              </w:rPr>
              <w:t>不采纳原因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0" w:hRule="atLeast"/>
        </w:trPr>
        <w:tc>
          <w:tcPr>
            <w:tcW w:w="16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1</w:t>
            </w:r>
          </w:p>
        </w:tc>
        <w:tc>
          <w:tcPr>
            <w:tcW w:w="1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西乡塘教育局</w:t>
            </w:r>
          </w:p>
        </w:tc>
        <w:tc>
          <w:tcPr>
            <w:tcW w:w="2914" w:type="pct"/>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“三、工作措施（一）建设劳动教育课程 ”的“中小学每周家庭生活劳动或校外公益活动时间，不少于 1 小时”。改为“中小学每周课外活动和家庭生活中劳动时间，小学 1 至 2 年 级不少于 2 小时，其他年级不少于 3 小时。”</w:t>
            </w:r>
          </w:p>
        </w:tc>
        <w:tc>
          <w:tcPr>
            <w:tcW w:w="8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教育部的《大中小学劳动教育指导纲要（试行）》之“在课外校外活动中安排劳动实践”要求。</w:t>
            </w: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采纳。已对原稿进行修改。</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6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auto"/>
                <w:sz w:val="28"/>
                <w:szCs w:val="28"/>
                <w:u w:val="none"/>
              </w:rPr>
            </w:pPr>
          </w:p>
        </w:tc>
        <w:tc>
          <w:tcPr>
            <w:tcW w:w="1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auto"/>
                <w:sz w:val="28"/>
                <w:szCs w:val="28"/>
                <w:u w:val="none"/>
              </w:rPr>
            </w:pPr>
          </w:p>
        </w:tc>
        <w:tc>
          <w:tcPr>
            <w:tcW w:w="2914" w:type="pct"/>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eastAsia" w:ascii="宋体" w:hAnsi="宋体" w:eastAsia="宋体" w:cs="宋体"/>
                <w:i w:val="0"/>
                <w:iCs w:val="0"/>
                <w:color w:val="auto"/>
                <w:sz w:val="28"/>
                <w:szCs w:val="28"/>
                <w:u w:val="none"/>
              </w:rPr>
            </w:pPr>
            <w:r>
              <w:rPr>
                <w:rStyle w:val="4"/>
                <w:color w:val="auto"/>
                <w:lang w:val="en-US" w:eastAsia="zh-CN" w:bidi="ar"/>
              </w:rPr>
              <w:t>“四、劳动教育评价机制建议：（一）建立劳动任务清单制度”中的“ 明确学生参加劳动教育的具体内容和要求。</w:t>
            </w:r>
            <w:r>
              <w:rPr>
                <w:rStyle w:val="5"/>
                <w:color w:val="auto"/>
                <w:lang w:val="en-US" w:eastAsia="zh-CN" w:bidi="ar"/>
              </w:rPr>
              <w:t>如劳动任务单、家庭劳动清单”。“劳动任务单、家庭劳动清单”不应同时出现。</w:t>
            </w:r>
          </w:p>
        </w:tc>
        <w:tc>
          <w:tcPr>
            <w:tcW w:w="8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“劳动任务”含“家庭劳动”，前后概念相包含，欠严谨。</w:t>
            </w: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center"/>
              <w:rPr>
                <w:rFonts w:hint="eastAsia" w:ascii="仿宋_GB2312" w:hAnsi="宋体" w:eastAsia="仿宋_GB2312" w:cs="仿宋_GB2312"/>
                <w:i w:val="0"/>
                <w:iCs w:val="0"/>
                <w:color w:val="auto"/>
                <w:sz w:val="32"/>
                <w:szCs w:val="32"/>
                <w:u w:val="none"/>
              </w:rPr>
            </w:pPr>
            <w:r>
              <w:rPr>
                <w:rFonts w:hint="eastAsia" w:ascii="宋体" w:hAnsi="宋体" w:eastAsia="宋体" w:cs="宋体"/>
                <w:i w:val="0"/>
                <w:iCs w:val="0"/>
                <w:color w:val="auto"/>
                <w:kern w:val="0"/>
                <w:sz w:val="22"/>
                <w:szCs w:val="22"/>
                <w:u w:val="none"/>
                <w:lang w:val="en-US" w:eastAsia="zh-CN" w:bidi="ar"/>
              </w:rPr>
              <w:t>采纳。对原稿中的表格修改完善。</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2" w:hRule="atLeast"/>
        </w:trPr>
        <w:tc>
          <w:tcPr>
            <w:tcW w:w="16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auto"/>
                <w:sz w:val="28"/>
                <w:szCs w:val="28"/>
                <w:u w:val="none"/>
              </w:rPr>
            </w:pPr>
          </w:p>
        </w:tc>
        <w:tc>
          <w:tcPr>
            <w:tcW w:w="1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auto"/>
                <w:sz w:val="28"/>
                <w:szCs w:val="28"/>
                <w:u w:val="none"/>
              </w:rPr>
            </w:pPr>
          </w:p>
        </w:tc>
        <w:tc>
          <w:tcPr>
            <w:tcW w:w="2914" w:type="pct"/>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112395</wp:posOffset>
                  </wp:positionH>
                  <wp:positionV relativeFrom="paragraph">
                    <wp:posOffset>2212340</wp:posOffset>
                  </wp:positionV>
                  <wp:extent cx="3155950" cy="1454150"/>
                  <wp:effectExtent l="0" t="0" r="13970" b="8890"/>
                  <wp:wrapNone/>
                  <wp:docPr id="1" name="图片_2"/>
                  <wp:cNvGraphicFramePr/>
                  <a:graphic xmlns:a="http://schemas.openxmlformats.org/drawingml/2006/main">
                    <a:graphicData uri="http://schemas.openxmlformats.org/drawingml/2006/picture">
                      <pic:pic xmlns:pic="http://schemas.openxmlformats.org/drawingml/2006/picture">
                        <pic:nvPicPr>
                          <pic:cNvPr id="1" name="图片_2"/>
                          <pic:cNvPicPr/>
                        </pic:nvPicPr>
                        <pic:blipFill>
                          <a:blip r:embed="rId4"/>
                          <a:stretch>
                            <a:fillRect/>
                          </a:stretch>
                        </pic:blipFill>
                        <pic:spPr>
                          <a:xfrm>
                            <a:off x="0" y="0"/>
                            <a:ext cx="3155950" cy="1454150"/>
                          </a:xfrm>
                          <a:prstGeom prst="rect">
                            <a:avLst/>
                          </a:prstGeom>
                          <a:noFill/>
                          <a:ln>
                            <a:noFill/>
                          </a:ln>
                        </pic:spPr>
                      </pic:pic>
                    </a:graphicData>
                  </a:graphic>
                </wp:anchor>
              </w:drawing>
            </w:r>
            <w:r>
              <w:rPr>
                <w:rFonts w:hint="eastAsia" w:ascii="宋体" w:hAnsi="宋体" w:eastAsia="宋体" w:cs="宋体"/>
                <w:i w:val="0"/>
                <w:iCs w:val="0"/>
                <w:color w:val="auto"/>
                <w:kern w:val="0"/>
                <w:sz w:val="28"/>
                <w:szCs w:val="2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86995</wp:posOffset>
                  </wp:positionH>
                  <wp:positionV relativeFrom="paragraph">
                    <wp:posOffset>611505</wp:posOffset>
                  </wp:positionV>
                  <wp:extent cx="2832100" cy="1501140"/>
                  <wp:effectExtent l="0" t="0" r="2540" b="7620"/>
                  <wp:wrapNone/>
                  <wp:docPr id="3" name="图片_1"/>
                  <wp:cNvGraphicFramePr/>
                  <a:graphic xmlns:a="http://schemas.openxmlformats.org/drawingml/2006/main">
                    <a:graphicData uri="http://schemas.openxmlformats.org/drawingml/2006/picture">
                      <pic:pic xmlns:pic="http://schemas.openxmlformats.org/drawingml/2006/picture">
                        <pic:nvPicPr>
                          <pic:cNvPr id="3" name="图片_1"/>
                          <pic:cNvPicPr/>
                        </pic:nvPicPr>
                        <pic:blipFill>
                          <a:blip r:embed="rId5"/>
                          <a:stretch>
                            <a:fillRect/>
                          </a:stretch>
                        </pic:blipFill>
                        <pic:spPr>
                          <a:xfrm>
                            <a:off x="0" y="0"/>
                            <a:ext cx="2832100" cy="1501140"/>
                          </a:xfrm>
                          <a:prstGeom prst="rect">
                            <a:avLst/>
                          </a:prstGeom>
                          <a:noFill/>
                          <a:ln>
                            <a:noFill/>
                          </a:ln>
                        </pic:spPr>
                      </pic:pic>
                    </a:graphicData>
                  </a:graphic>
                </wp:anchor>
              </w:drawing>
            </w:r>
            <w:r>
              <w:rPr>
                <w:rFonts w:hint="eastAsia" w:ascii="宋体" w:hAnsi="宋体" w:eastAsia="宋体" w:cs="宋体"/>
                <w:i w:val="0"/>
                <w:iCs w:val="0"/>
                <w:color w:val="auto"/>
                <w:kern w:val="0"/>
                <w:sz w:val="28"/>
                <w:szCs w:val="28"/>
                <w:u w:val="none"/>
                <w:lang w:val="en-US" w:eastAsia="zh-CN" w:bidi="ar"/>
              </w:rPr>
              <w:t>“四、劳动教育评价机制建议 （一）建立劳动任务清单制度”。建议增加：课程评价和教师课程评价。</w:t>
            </w:r>
          </w:p>
        </w:tc>
        <w:tc>
          <w:tcPr>
            <w:tcW w:w="825" w:type="pct"/>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未提供</w:t>
            </w: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32"/>
                <w:szCs w:val="32"/>
                <w:u w:val="none"/>
              </w:rPr>
            </w:pPr>
            <w:r>
              <w:rPr>
                <w:rFonts w:hint="eastAsia" w:ascii="仿宋_GB2312" w:hAnsi="宋体" w:eastAsia="仿宋_GB2312" w:cs="仿宋_GB2312"/>
                <w:i w:val="0"/>
                <w:iCs w:val="0"/>
                <w:color w:val="auto"/>
                <w:kern w:val="0"/>
                <w:sz w:val="32"/>
                <w:szCs w:val="32"/>
                <w:u w:val="none"/>
                <w:lang w:val="en-US" w:eastAsia="zh-CN" w:bidi="ar"/>
              </w:rPr>
              <w:t>采纳。参考增加制定了“课程教师评价”“课程评价”</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i w:val="0"/>
                <w:iCs w:val="0"/>
                <w:color w:val="auto"/>
                <w:sz w:val="32"/>
                <w:szCs w:val="32"/>
                <w:u w:val="singl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6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auto"/>
                <w:sz w:val="28"/>
                <w:szCs w:val="28"/>
                <w:u w:val="none"/>
              </w:rPr>
            </w:pPr>
          </w:p>
        </w:tc>
        <w:tc>
          <w:tcPr>
            <w:tcW w:w="1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auto"/>
                <w:sz w:val="28"/>
                <w:szCs w:val="28"/>
                <w:u w:val="none"/>
              </w:rPr>
            </w:pPr>
          </w:p>
        </w:tc>
        <w:tc>
          <w:tcPr>
            <w:tcW w:w="2914" w:type="pct"/>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“五、劳动教育的保障机制 （四）强化安全保障”。建议增加“学校应建立与各项劳动教育相关的应急处置预案，将活动相关隐患风险点、处置办法明确，确保学生在参加劳动教育过程中的人身安全。”</w:t>
            </w:r>
          </w:p>
        </w:tc>
        <w:tc>
          <w:tcPr>
            <w:tcW w:w="825" w:type="pct"/>
            <w:gridSpan w:val="2"/>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未提供</w:t>
            </w: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采纳。增加相应内容</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225" w:hRule="atLeast"/>
        </w:trPr>
        <w:tc>
          <w:tcPr>
            <w:tcW w:w="16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auto"/>
                <w:sz w:val="28"/>
                <w:szCs w:val="28"/>
                <w:u w:val="none"/>
              </w:rPr>
            </w:pPr>
          </w:p>
        </w:tc>
        <w:tc>
          <w:tcPr>
            <w:tcW w:w="1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auto"/>
                <w:sz w:val="28"/>
                <w:szCs w:val="28"/>
                <w:u w:val="none"/>
              </w:rPr>
            </w:pPr>
          </w:p>
        </w:tc>
        <w:tc>
          <w:tcPr>
            <w:tcW w:w="2914" w:type="pct"/>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4445</wp:posOffset>
                  </wp:positionH>
                  <wp:positionV relativeFrom="paragraph">
                    <wp:posOffset>1826260</wp:posOffset>
                  </wp:positionV>
                  <wp:extent cx="3063875" cy="773430"/>
                  <wp:effectExtent l="0" t="0" r="14605" b="3810"/>
                  <wp:wrapNone/>
                  <wp:docPr id="4" name="图片_5"/>
                  <wp:cNvGraphicFramePr/>
                  <a:graphic xmlns:a="http://schemas.openxmlformats.org/drawingml/2006/main">
                    <a:graphicData uri="http://schemas.openxmlformats.org/drawingml/2006/picture">
                      <pic:pic xmlns:pic="http://schemas.openxmlformats.org/drawingml/2006/picture">
                        <pic:nvPicPr>
                          <pic:cNvPr id="4" name="图片_5"/>
                          <pic:cNvPicPr/>
                        </pic:nvPicPr>
                        <pic:blipFill>
                          <a:blip r:embed="rId6"/>
                          <a:stretch>
                            <a:fillRect/>
                          </a:stretch>
                        </pic:blipFill>
                        <pic:spPr>
                          <a:xfrm>
                            <a:off x="0" y="0"/>
                            <a:ext cx="3063875" cy="773430"/>
                          </a:xfrm>
                          <a:prstGeom prst="rect">
                            <a:avLst/>
                          </a:prstGeom>
                          <a:noFill/>
                          <a:ln>
                            <a:noFill/>
                          </a:ln>
                        </pic:spPr>
                      </pic:pic>
                    </a:graphicData>
                  </a:graphic>
                </wp:anchor>
              </w:drawing>
            </w:r>
            <w:r>
              <w:rPr>
                <w:rFonts w:hint="eastAsia" w:ascii="宋体" w:hAnsi="宋体" w:eastAsia="宋体" w:cs="宋体"/>
                <w:i w:val="0"/>
                <w:iCs w:val="0"/>
                <w:color w:val="auto"/>
                <w:kern w:val="0"/>
                <w:sz w:val="28"/>
                <w:szCs w:val="2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63500</wp:posOffset>
                  </wp:positionH>
                  <wp:positionV relativeFrom="paragraph">
                    <wp:posOffset>791210</wp:posOffset>
                  </wp:positionV>
                  <wp:extent cx="3129915" cy="753110"/>
                  <wp:effectExtent l="0" t="0" r="9525" b="8890"/>
                  <wp:wrapNone/>
                  <wp:docPr id="2" name="图片_3"/>
                  <wp:cNvGraphicFramePr/>
                  <a:graphic xmlns:a="http://schemas.openxmlformats.org/drawingml/2006/main">
                    <a:graphicData uri="http://schemas.openxmlformats.org/drawingml/2006/picture">
                      <pic:pic xmlns:pic="http://schemas.openxmlformats.org/drawingml/2006/picture">
                        <pic:nvPicPr>
                          <pic:cNvPr id="2" name="图片_3"/>
                          <pic:cNvPicPr/>
                        </pic:nvPicPr>
                        <pic:blipFill>
                          <a:blip r:embed="rId7"/>
                          <a:stretch>
                            <a:fillRect/>
                          </a:stretch>
                        </pic:blipFill>
                        <pic:spPr>
                          <a:xfrm>
                            <a:off x="0" y="0"/>
                            <a:ext cx="3129915" cy="753110"/>
                          </a:xfrm>
                          <a:prstGeom prst="rect">
                            <a:avLst/>
                          </a:prstGeom>
                          <a:noFill/>
                          <a:ln>
                            <a:noFill/>
                          </a:ln>
                        </pic:spPr>
                      </pic:pic>
                    </a:graphicData>
                  </a:graphic>
                </wp:anchor>
              </w:drawing>
            </w:r>
            <w:r>
              <w:rPr>
                <w:rFonts w:hint="eastAsia" w:ascii="宋体" w:hAnsi="宋体" w:eastAsia="宋体" w:cs="宋体"/>
                <w:i w:val="0"/>
                <w:iCs w:val="0"/>
                <w:color w:val="auto"/>
                <w:kern w:val="0"/>
                <w:sz w:val="28"/>
                <w:szCs w:val="28"/>
                <w:u w:val="none"/>
                <w:lang w:val="en-US" w:eastAsia="zh-CN" w:bidi="ar"/>
              </w:rPr>
              <w:t>“附件 小中学劳动项目指南”。表格中的1-2为“学科”，3-4起为“涉及学科”，前后不一致；统一改为 “学科融合”。</w:t>
            </w:r>
          </w:p>
        </w:tc>
        <w:tc>
          <w:tcPr>
            <w:tcW w:w="8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对文件和课标理解不透的学校或老师误认为是某学科老师负责该项目内容。</w:t>
            </w: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采纳。已将相应的地方修改为“学科融合”。</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6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auto"/>
                <w:sz w:val="28"/>
                <w:szCs w:val="28"/>
                <w:u w:val="none"/>
              </w:rPr>
            </w:pPr>
          </w:p>
        </w:tc>
        <w:tc>
          <w:tcPr>
            <w:tcW w:w="1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auto"/>
                <w:sz w:val="28"/>
                <w:szCs w:val="28"/>
                <w:u w:val="none"/>
              </w:rPr>
            </w:pPr>
          </w:p>
        </w:tc>
        <w:tc>
          <w:tcPr>
            <w:tcW w:w="29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“附件 1-4。初中劳动项目指南” 中的“学生在教师的指导下，走出教室，参与社会活动，以自己的劳动满足社会组织或他人的需要”。建议：走出教室，参与社会活动应在安全前提下。</w:t>
            </w:r>
          </w:p>
        </w:tc>
        <w:tc>
          <w:tcPr>
            <w:tcW w:w="8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学生在教师的指导下，可邀请家长、社区力量协同，再保障学生安全的前提下，走出教室，参与社会活动。</w:t>
            </w: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采纳。已修改。</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16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auto"/>
                <w:sz w:val="28"/>
                <w:szCs w:val="28"/>
                <w:u w:val="none"/>
              </w:rPr>
            </w:pPr>
          </w:p>
        </w:tc>
        <w:tc>
          <w:tcPr>
            <w:tcW w:w="1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auto"/>
                <w:sz w:val="28"/>
                <w:szCs w:val="28"/>
                <w:u w:val="none"/>
              </w:rPr>
            </w:pPr>
          </w:p>
        </w:tc>
        <w:tc>
          <w:tcPr>
            <w:tcW w:w="2914" w:type="pct"/>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both"/>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“附件 1-4 初中劳动项目指南”。建议：初中学段的劳动清单结合生涯教育。</w:t>
            </w:r>
          </w:p>
        </w:tc>
        <w:tc>
          <w:tcPr>
            <w:tcW w:w="8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both"/>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未提供</w:t>
            </w: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16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auto"/>
                <w:sz w:val="28"/>
                <w:szCs w:val="28"/>
                <w:u w:val="none"/>
              </w:rPr>
            </w:pPr>
          </w:p>
        </w:tc>
        <w:tc>
          <w:tcPr>
            <w:tcW w:w="1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auto"/>
                <w:sz w:val="28"/>
                <w:szCs w:val="28"/>
                <w:u w:val="none"/>
              </w:rPr>
            </w:pPr>
          </w:p>
        </w:tc>
        <w:tc>
          <w:tcPr>
            <w:tcW w:w="2914" w:type="pc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both"/>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“五、劳动教育的保障机制 （三）加强督导评估与激励。在将中小学劳动教育成果纳入基础教育教学成果评选范围”中的“在”改为“再”。</w:t>
            </w:r>
          </w:p>
        </w:tc>
        <w:tc>
          <w:tcPr>
            <w:tcW w:w="8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both"/>
              <w:textAlignment w:val="top"/>
              <w:rPr>
                <w:rFonts w:hint="eastAsia" w:ascii="宋体" w:hAnsi="宋体" w:eastAsia="宋体" w:cs="宋体"/>
                <w:i w:val="0"/>
                <w:iCs w:val="0"/>
                <w:color w:val="auto"/>
                <w:sz w:val="28"/>
                <w:szCs w:val="28"/>
                <w:u w:val="none"/>
              </w:rPr>
            </w:pPr>
            <w:r>
              <w:rPr>
                <w:rFonts w:hint="eastAsia" w:ascii="宋体" w:hAnsi="宋体" w:eastAsia="宋体" w:cs="宋体"/>
                <w:i w:val="0"/>
                <w:iCs w:val="0"/>
                <w:color w:val="auto"/>
                <w:kern w:val="0"/>
                <w:sz w:val="28"/>
                <w:szCs w:val="28"/>
                <w:u w:val="none"/>
                <w:lang w:val="en-US" w:eastAsia="zh-CN" w:bidi="ar"/>
              </w:rPr>
              <w:t>未提供</w:t>
            </w:r>
          </w:p>
        </w:tc>
        <w:tc>
          <w:tcPr>
            <w:tcW w:w="6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sz w:val="32"/>
                <w:szCs w:val="32"/>
                <w:u w:val="none"/>
              </w:rPr>
            </w:pPr>
            <w:r>
              <w:rPr>
                <w:rFonts w:hint="eastAsia" w:ascii="仿宋_GB2312" w:hAnsi="宋体" w:eastAsia="仿宋_GB2312" w:cs="仿宋_GB2312"/>
                <w:i w:val="0"/>
                <w:iCs w:val="0"/>
                <w:color w:val="auto"/>
                <w:kern w:val="0"/>
                <w:sz w:val="32"/>
                <w:szCs w:val="32"/>
                <w:u w:val="none"/>
                <w:lang w:val="en-US" w:eastAsia="zh-CN" w:bidi="ar"/>
              </w:rPr>
              <w:t>采纳。</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2"/>
                <w:szCs w:val="22"/>
                <w:u w:val="none"/>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8F456A97-761A-41FF-90A1-648CBA0A1BFC}"/>
  </w:font>
  <w:font w:name="方正小标宋简体">
    <w:panose1 w:val="02000000000000000000"/>
    <w:charset w:val="86"/>
    <w:family w:val="auto"/>
    <w:pitch w:val="default"/>
    <w:sig w:usb0="00000001" w:usb1="080E0000" w:usb2="00000000" w:usb3="00000000" w:csb0="00040000" w:csb1="00000000"/>
    <w:embedRegular r:id="rId2" w:fontKey="{99906FFE-4D6E-49AB-BFCC-BC8B93E82612}"/>
  </w:font>
  <w:font w:name="仿宋_GB2312">
    <w:panose1 w:val="02010609030101010101"/>
    <w:charset w:val="86"/>
    <w:family w:val="auto"/>
    <w:pitch w:val="default"/>
    <w:sig w:usb0="00000001" w:usb1="080E0000" w:usb2="00000000" w:usb3="00000000" w:csb0="00040000" w:csb1="00000000"/>
    <w:embedRegular r:id="rId3" w:fontKey="{41D92CDF-8818-46B6-8B2B-576B81C0678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dkMzE4NDI0YWNmODA1N2MyNWRlZjY4NmU5YjU3OTMifQ=="/>
  </w:docVars>
  <w:rsids>
    <w:rsidRoot w:val="7E4953DA"/>
    <w:rsid w:val="48790DDA"/>
    <w:rsid w:val="7E495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81"/>
    <w:basedOn w:val="3"/>
    <w:qFormat/>
    <w:uiPriority w:val="0"/>
    <w:rPr>
      <w:rFonts w:hint="eastAsia" w:ascii="宋体" w:hAnsi="宋体" w:eastAsia="宋体" w:cs="宋体"/>
      <w:color w:val="000000"/>
      <w:sz w:val="28"/>
      <w:szCs w:val="28"/>
      <w:u w:val="none"/>
    </w:rPr>
  </w:style>
  <w:style w:type="character" w:customStyle="1" w:styleId="5">
    <w:name w:val="font131"/>
    <w:basedOn w:val="3"/>
    <w:qFormat/>
    <w:uiPriority w:val="0"/>
    <w:rPr>
      <w:rFonts w:hint="eastAsia" w:ascii="宋体" w:hAnsi="宋体" w:eastAsia="宋体" w:cs="宋体"/>
      <w:color w:val="FF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850</Words>
  <Characters>858</Characters>
  <Lines>0</Lines>
  <Paragraphs>0</Paragraphs>
  <TotalTime>0</TotalTime>
  <ScaleCrop>false</ScaleCrop>
  <LinksUpToDate>false</LinksUpToDate>
  <CharactersWithSpaces>894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2022-10-23T16:25:00Z</dcterms:created>
  <dc:creator>金名山木公子</dc:creator>
  <cp:lastModifiedBy>梁琦</cp:lastModifiedBy>
  <dcterms:modified xsi:type="dcterms:W3CDTF">2022-10-27T03:40:41Z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F9D2A38AA27C4E81AF18B8990D4827F2</vt:lpwstr>
  </property>
</Properties>
</file>