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both"/>
        <w:textAlignment w:val="auto"/>
        <w:outlineLvl w:val="9"/>
        <w:rPr>
          <w:rFonts w:hint="eastAsia" w:ascii="仿宋" w:hAnsi="仿宋" w:eastAsia="仿宋" w:cs="仿宋"/>
          <w:b w:val="0"/>
          <w:bCs/>
          <w:kern w:val="0"/>
          <w:sz w:val="32"/>
          <w:szCs w:val="32"/>
          <w:lang w:val="en-US" w:eastAsia="zh-CN"/>
        </w:rPr>
      </w:pPr>
      <w:r>
        <w:rPr>
          <w:rFonts w:hint="eastAsia" w:ascii="仿宋" w:hAnsi="仿宋" w:eastAsia="仿宋" w:cs="仿宋"/>
          <w:b w:val="0"/>
          <w:bCs/>
          <w:kern w:val="0"/>
          <w:sz w:val="32"/>
          <w:szCs w:val="32"/>
          <w:lang w:eastAsia="zh-CN"/>
        </w:rPr>
        <w:t>附件</w:t>
      </w:r>
      <w:r>
        <w:rPr>
          <w:rFonts w:hint="eastAsia" w:ascii="仿宋" w:hAnsi="仿宋" w:eastAsia="仿宋" w:cs="仿宋"/>
          <w:b w:val="0"/>
          <w:bCs/>
          <w:kern w:val="0"/>
          <w:sz w:val="32"/>
          <w:szCs w:val="32"/>
          <w:lang w:val="en-US" w:eastAsia="zh-CN"/>
        </w:rPr>
        <w:t>2</w:t>
      </w:r>
    </w:p>
    <w:p>
      <w:pPr>
        <w:pStyle w:val="2"/>
        <w:rPr>
          <w:rFonts w:hint="eastAsia"/>
          <w:lang w:val="en-US" w:eastAsia="zh-CN"/>
        </w:rPr>
      </w:pPr>
      <w:bookmarkStart w:id="0" w:name="_GoBack"/>
      <w:bookmarkEnd w:id="0"/>
    </w:p>
    <w:p>
      <w:pPr>
        <w:keepNext w:val="0"/>
        <w:keepLines w:val="0"/>
        <w:pageBreakBefore w:val="0"/>
        <w:kinsoku/>
        <w:wordWrap/>
        <w:overflowPunct/>
        <w:topLinePunct w:val="0"/>
        <w:autoSpaceDE/>
        <w:autoSpaceDN/>
        <w:bidi w:val="0"/>
        <w:spacing w:line="560" w:lineRule="exact"/>
        <w:jc w:val="center"/>
        <w:textAlignment w:val="auto"/>
        <w:outlineLvl w:val="9"/>
        <w:rPr>
          <w:rFonts w:hint="eastAsia" w:eastAsia="方正小标宋简体"/>
          <w:bCs/>
          <w:kern w:val="0"/>
          <w:sz w:val="44"/>
          <w:szCs w:val="44"/>
        </w:rPr>
      </w:pPr>
      <w:r>
        <w:rPr>
          <w:rFonts w:hint="eastAsia" w:eastAsia="方正小标宋简体"/>
          <w:bCs/>
          <w:kern w:val="0"/>
          <w:sz w:val="44"/>
          <w:szCs w:val="44"/>
        </w:rPr>
        <w:t>《南宁市进一步深化产教融合促进职业教育</w:t>
      </w:r>
    </w:p>
    <w:p>
      <w:pPr>
        <w:keepNext w:val="0"/>
        <w:keepLines w:val="0"/>
        <w:pageBreakBefore w:val="0"/>
        <w:kinsoku/>
        <w:wordWrap/>
        <w:overflowPunct/>
        <w:topLinePunct w:val="0"/>
        <w:autoSpaceDE/>
        <w:autoSpaceDN/>
        <w:bidi w:val="0"/>
        <w:spacing w:line="560" w:lineRule="exact"/>
        <w:jc w:val="center"/>
        <w:textAlignment w:val="auto"/>
        <w:outlineLvl w:val="9"/>
        <w:rPr>
          <w:rFonts w:eastAsia="方正小标宋简体"/>
          <w:sz w:val="44"/>
          <w:szCs w:val="44"/>
        </w:rPr>
      </w:pPr>
      <w:r>
        <w:rPr>
          <w:rFonts w:hint="eastAsia" w:eastAsia="方正小标宋简体"/>
          <w:bCs/>
          <w:kern w:val="0"/>
          <w:sz w:val="44"/>
          <w:szCs w:val="44"/>
        </w:rPr>
        <w:t>开放合作的若干措施》</w:t>
      </w:r>
      <w:r>
        <w:rPr>
          <w:rFonts w:eastAsia="方正小标宋简体"/>
          <w:bCs/>
          <w:kern w:val="0"/>
          <w:sz w:val="44"/>
          <w:szCs w:val="44"/>
        </w:rPr>
        <w:t>起草</w:t>
      </w:r>
      <w:r>
        <w:rPr>
          <w:rFonts w:eastAsia="方正小标宋简体"/>
          <w:sz w:val="44"/>
          <w:szCs w:val="44"/>
        </w:rPr>
        <w:t>说明</w:t>
      </w:r>
    </w:p>
    <w:p>
      <w:pPr>
        <w:keepNext w:val="0"/>
        <w:keepLines w:val="0"/>
        <w:pageBreakBefore w:val="0"/>
        <w:kinsoku/>
        <w:wordWrap/>
        <w:overflowPunct/>
        <w:topLinePunct w:val="0"/>
        <w:autoSpaceDE/>
        <w:autoSpaceDN/>
        <w:bidi w:val="0"/>
        <w:spacing w:line="560" w:lineRule="exact"/>
        <w:textAlignment w:val="auto"/>
        <w:outlineLvl w:val="9"/>
        <w:rPr>
          <w:rFonts w:ascii="仿宋_GB2312" w:hAnsi="仿宋_GB2312" w:eastAsia="仿宋_GB2312" w:cs="仿宋_GB2312"/>
          <w:bCs/>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9"/>
        <w:rPr>
          <w:rFonts w:eastAsia="黑体"/>
          <w:sz w:val="32"/>
          <w:szCs w:val="32"/>
        </w:rPr>
      </w:pPr>
      <w:r>
        <w:rPr>
          <w:rFonts w:eastAsia="黑体"/>
          <w:bCs/>
          <w:kern w:val="0"/>
          <w:sz w:val="32"/>
          <w:szCs w:val="32"/>
        </w:rPr>
        <w:t>一、起草背景</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2022年11月，党的二十大报告提出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统筹职业教育、高等教育、继续教育协同创新，推进职普融通、产教融合、科教融汇，优化职业教育类型定位”。2023年5月29日，习近平总书记在中共中央政治局第五次集体学习时强调，“要把服务高质量发展作为建设教育强国的重要任务。……统筹职业教育、高等教育、继续教育，推进职普融通、产教融合、科教融汇，源源不断培养高素质技术技能人才、大国工匠、能工巧匠”。</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2022年5月1日，新修订的《职业教育法》正式施行</w:t>
      </w:r>
      <w:r>
        <w:rPr>
          <w:rFonts w:hint="eastAsia" w:ascii="仿宋_GB2312" w:hAnsi="仿宋_GB2312" w:eastAsia="仿宋_GB2312" w:cs="仿宋_GB2312"/>
          <w:color w:val="FF0000"/>
          <w:kern w:val="0"/>
          <w:sz w:val="32"/>
          <w:szCs w:val="32"/>
        </w:rPr>
        <w:t>，</w:t>
      </w:r>
      <w:r>
        <w:rPr>
          <w:rFonts w:hint="eastAsia" w:ascii="仿宋_GB2312" w:hAnsi="仿宋_GB2312" w:eastAsia="仿宋_GB2312" w:cs="仿宋_GB2312"/>
          <w:kern w:val="0"/>
          <w:sz w:val="32"/>
          <w:szCs w:val="32"/>
        </w:rPr>
        <w:t>为职业教育高质量发展提供了根本的法律保障。12月，中共中央办公厅、国务院办公厅印发《关于深化现代职业教育体系建设改革的意见》，提出提升职业学校关键能力，深化产教融合，推动职普融通，有序有效推进</w:t>
      </w:r>
      <w:r>
        <w:rPr>
          <w:rFonts w:hint="eastAsia" w:ascii="仿宋_GB2312" w:hAnsi="仿宋_GB2312" w:eastAsia="仿宋_GB2312" w:cs="仿宋_GB2312"/>
          <w:bCs/>
          <w:sz w:val="32"/>
          <w:szCs w:val="32"/>
        </w:rPr>
        <w:t>现代职业教育体系建设改革。</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月，《教育部 广西壮族自治区人民政府关于印发推动产教集聚融合打造面向东盟的职业教育开放合作创新高地实施方案的通知》印发，提出打造产教集聚融合先行区，提升职业教育办学质量和对外开放合作水平，推动中国与东盟合作提质增效。</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全面贯彻党的二十大精神，贯彻落实新修订的《职业教育法》和中央职业教育改革文件精神，在广泛调研基础上，市教育局牵头会同有关部门，起草了《南宁市进一步深化产教融合促进职业教育开放合作的若干措施》（以下简称“《若干措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9"/>
        <w:rPr>
          <w:rFonts w:eastAsia="黑体"/>
          <w:bCs/>
          <w:kern w:val="0"/>
          <w:sz w:val="32"/>
          <w:szCs w:val="32"/>
        </w:rPr>
      </w:pPr>
      <w:r>
        <w:rPr>
          <w:rFonts w:eastAsia="黑体"/>
          <w:bCs/>
          <w:kern w:val="0"/>
          <w:sz w:val="32"/>
          <w:szCs w:val="32"/>
        </w:rPr>
        <w:t>二、起草依据和过程</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outlineLvl w:val="9"/>
        <w:rPr>
          <w:rFonts w:eastAsia="仿宋_GB2312"/>
          <w:bCs/>
          <w:kern w:val="0"/>
          <w:sz w:val="32"/>
          <w:szCs w:val="32"/>
        </w:rPr>
      </w:pPr>
      <w:r>
        <w:rPr>
          <w:rFonts w:eastAsia="楷体_GB2312"/>
          <w:b/>
          <w:kern w:val="0"/>
          <w:sz w:val="32"/>
          <w:szCs w:val="32"/>
        </w:rPr>
        <w:t>（一）起草依据。</w:t>
      </w:r>
    </w:p>
    <w:p>
      <w:pPr>
        <w:keepNext w:val="0"/>
        <w:keepLines w:val="0"/>
        <w:pageBreakBefore w:val="0"/>
        <w:kinsoku/>
        <w:wordWrap/>
        <w:overflowPunct/>
        <w:topLinePunct w:val="0"/>
        <w:autoSpaceDE/>
        <w:autoSpaceDN/>
        <w:bidi w:val="0"/>
        <w:spacing w:line="560" w:lineRule="exact"/>
        <w:ind w:firstLine="643" w:firstLineChars="200"/>
        <w:textAlignment w:val="auto"/>
        <w:outlineLvl w:val="9"/>
        <w:rPr>
          <w:rFonts w:ascii="仿宋_GB2312" w:hAnsi="仿宋_GB2312" w:eastAsia="仿宋_GB2312" w:cs="仿宋_GB2312"/>
          <w:color w:val="FF0000"/>
          <w:kern w:val="0"/>
          <w:sz w:val="32"/>
          <w:szCs w:val="32"/>
        </w:rPr>
      </w:pPr>
      <w:r>
        <w:rPr>
          <w:rFonts w:hint="eastAsia" w:ascii="仿宋_GB2312" w:hAnsi="仿宋_GB2312" w:eastAsia="仿宋_GB2312" w:cs="仿宋_GB2312"/>
          <w:b/>
          <w:sz w:val="32"/>
          <w:szCs w:val="32"/>
        </w:rPr>
        <w:t>1.国</w:t>
      </w:r>
      <w:r>
        <w:rPr>
          <w:rFonts w:hint="eastAsia" w:ascii="仿宋_GB2312" w:hAnsi="仿宋_GB2312" w:eastAsia="仿宋_GB2312" w:cs="仿宋_GB2312"/>
          <w:b/>
          <w:kern w:val="0"/>
          <w:sz w:val="32"/>
          <w:szCs w:val="32"/>
        </w:rPr>
        <w:t>家政策文件</w:t>
      </w:r>
      <w:r>
        <w:rPr>
          <w:rFonts w:hint="eastAsia" w:ascii="仿宋_GB2312" w:hAnsi="仿宋_GB2312" w:eastAsia="仿宋_GB2312" w:cs="仿宋_GB2312"/>
          <w:b/>
          <w:kern w:val="0"/>
          <w:sz w:val="32"/>
          <w:szCs w:val="32"/>
          <w:lang w:eastAsia="zh-CN"/>
        </w:rPr>
        <w:t>。</w:t>
      </w:r>
      <w:r>
        <w:rPr>
          <w:rFonts w:hint="eastAsia" w:ascii="仿宋_GB2312" w:hAnsi="仿宋_GB2312" w:eastAsia="仿宋_GB2312" w:cs="仿宋_GB2312"/>
          <w:kern w:val="0"/>
          <w:sz w:val="32"/>
          <w:szCs w:val="32"/>
        </w:rPr>
        <w:t>《中华人民共和国职业教育法》（2022年修订）、《中共中央办公厅 国务院办公厅关于深化现代职业教育体系建设改革的意见》《中共中央办公厅 国务院办公厅关于推动现代职业教育高质量发展的意见》。</w:t>
      </w:r>
    </w:p>
    <w:p>
      <w:pPr>
        <w:keepNext w:val="0"/>
        <w:keepLines w:val="0"/>
        <w:pageBreakBefore w:val="0"/>
        <w:widowControl/>
        <w:kinsoku/>
        <w:wordWrap/>
        <w:overflowPunct/>
        <w:topLinePunct w:val="0"/>
        <w:autoSpaceDE/>
        <w:autoSpaceDN/>
        <w:bidi w:val="0"/>
        <w:spacing w:line="560" w:lineRule="exact"/>
        <w:ind w:firstLine="643" w:firstLineChars="200"/>
        <w:jc w:val="left"/>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b/>
          <w:sz w:val="32"/>
          <w:szCs w:val="32"/>
        </w:rPr>
        <w:t>2.自治区政策文件</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Cs/>
          <w:sz w:val="32"/>
          <w:szCs w:val="32"/>
          <w:highlight w:val="none"/>
        </w:rPr>
        <w:t>《教育部 广西壮族自治区人民政府关于印发推动产教集聚融合打造面向东盟的职业教育开放合作创新高地的实施方案的通知》（桂政发</w:t>
      </w:r>
      <w:r>
        <w:rPr>
          <w:rFonts w:hint="eastAsia" w:ascii="仿宋_GB2312" w:hAnsi="仿宋_GB2312" w:eastAsia="仿宋_GB2312" w:cs="仿宋_GB2312"/>
          <w:kern w:val="0"/>
          <w:sz w:val="32"/>
          <w:szCs w:val="32"/>
          <w:highlight w:val="none"/>
        </w:rPr>
        <w:t>〔2023〕13号</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rPr>
        <w:t>、</w:t>
      </w:r>
      <w:r>
        <w:rPr>
          <w:rFonts w:hint="eastAsia" w:ascii="仿宋_GB2312" w:hAnsi="仿宋_GB2312" w:eastAsia="仿宋_GB2312" w:cs="仿宋_GB2312"/>
          <w:kern w:val="0"/>
          <w:sz w:val="32"/>
          <w:szCs w:val="32"/>
        </w:rPr>
        <w:t>《广西壮族自治区人民政府关于印发广西职业教育改革实施方案的通知》（桂政发〔2019〕35号）、《广西壮族自治区人民政府办公厅关于深化产教融合的实施意见》（桂政办发〔2018〕154号）。</w:t>
      </w:r>
    </w:p>
    <w:p>
      <w:pPr>
        <w:keepNext w:val="0"/>
        <w:keepLines w:val="0"/>
        <w:pageBreakBefore w:val="0"/>
        <w:widowControl/>
        <w:kinsoku/>
        <w:wordWrap/>
        <w:overflowPunct/>
        <w:topLinePunct w:val="0"/>
        <w:autoSpaceDE/>
        <w:autoSpaceDN/>
        <w:bidi w:val="0"/>
        <w:spacing w:line="560" w:lineRule="exact"/>
        <w:ind w:firstLine="643" w:firstLineChars="200"/>
        <w:jc w:val="left"/>
        <w:textAlignment w:val="auto"/>
        <w:outlineLvl w:val="9"/>
        <w:rPr>
          <w:rFonts w:ascii="仿宋_GB2312" w:hAnsi="仿宋_GB2312" w:eastAsia="仿宋_GB2312" w:cs="仿宋_GB2312"/>
        </w:rPr>
      </w:pPr>
      <w:r>
        <w:rPr>
          <w:rFonts w:hint="eastAsia" w:ascii="仿宋_GB2312" w:hAnsi="仿宋_GB2312" w:eastAsia="仿宋_GB2312" w:cs="仿宋_GB2312"/>
          <w:b/>
          <w:bCs/>
          <w:kern w:val="0"/>
          <w:sz w:val="32"/>
          <w:szCs w:val="32"/>
        </w:rPr>
        <w:t>3.南宁市政策文件</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kern w:val="0"/>
          <w:sz w:val="32"/>
          <w:szCs w:val="32"/>
        </w:rPr>
        <w:t>《南宁市人民政府关于印发南宁市职业教育改革实施方案》（南府发〔2019〕15号）、《南宁市人民政府办公室关于印发南宁市深化产教融合实施方案的通知》（南府办〔2019〕58号）</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outlineLvl w:val="9"/>
        <w:rPr>
          <w:rFonts w:hint="eastAsia" w:ascii="仿宋_GB2312" w:hAnsi="仿宋_GB2312" w:eastAsia="仿宋_GB2312" w:cs="仿宋_GB2312"/>
          <w:color w:val="auto"/>
          <w:kern w:val="0"/>
          <w:sz w:val="32"/>
          <w:szCs w:val="32"/>
          <w:highlight w:val="none"/>
          <w:lang w:val="en-US" w:eastAsia="zh-CN"/>
        </w:rPr>
      </w:pPr>
      <w:r>
        <w:rPr>
          <w:rFonts w:eastAsia="楷体_GB2312"/>
          <w:b/>
          <w:kern w:val="0"/>
          <w:sz w:val="32"/>
          <w:szCs w:val="32"/>
        </w:rPr>
        <w:t>（二）起草过程。</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eastAsia="黑体"/>
          <w:bCs/>
          <w:sz w:val="32"/>
          <w:szCs w:val="32"/>
        </w:rPr>
      </w:pPr>
      <w:r>
        <w:rPr>
          <w:rFonts w:hint="eastAsia" w:ascii="仿宋_GB2312" w:hAnsi="仿宋_GB2312" w:eastAsia="仿宋_GB2312" w:cs="仿宋_GB2312"/>
          <w:kern w:val="0"/>
          <w:sz w:val="32"/>
          <w:szCs w:val="32"/>
        </w:rPr>
        <w:t>组织成立起草工作专班，集中学习国家、自治区重大政策文件以及南宁市有关发展规划、改革文件</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kern w:val="0"/>
          <w:sz w:val="32"/>
          <w:szCs w:val="32"/>
        </w:rPr>
        <w:t>结合</w:t>
      </w:r>
      <w:r>
        <w:rPr>
          <w:rFonts w:hint="eastAsia" w:ascii="仿宋_GB2312" w:hAnsi="仿宋_GB2312" w:eastAsia="仿宋_GB2312" w:cs="仿宋_GB2312"/>
          <w:kern w:val="0"/>
          <w:sz w:val="32"/>
          <w:szCs w:val="32"/>
          <w:lang w:eastAsia="zh-CN"/>
        </w:rPr>
        <w:t>赴</w:t>
      </w:r>
      <w:r>
        <w:rPr>
          <w:rFonts w:hint="eastAsia" w:ascii="仿宋_GB2312" w:hAnsi="仿宋_GB2312" w:eastAsia="仿宋_GB2312" w:cs="仿宋_GB2312"/>
          <w:kern w:val="0"/>
          <w:sz w:val="32"/>
          <w:szCs w:val="32"/>
        </w:rPr>
        <w:t>先进地区调研</w:t>
      </w:r>
      <w:r>
        <w:rPr>
          <w:rFonts w:hint="eastAsia" w:ascii="仿宋_GB2312" w:hAnsi="仿宋_GB2312" w:eastAsia="仿宋_GB2312" w:cs="仿宋_GB2312"/>
          <w:kern w:val="0"/>
          <w:sz w:val="32"/>
          <w:szCs w:val="32"/>
          <w:lang w:eastAsia="zh-CN"/>
        </w:rPr>
        <w:t>，开展</w:t>
      </w:r>
      <w:r>
        <w:rPr>
          <w:rFonts w:hint="eastAsia" w:ascii="仿宋_GB2312" w:hAnsi="仿宋_GB2312" w:eastAsia="仿宋_GB2312" w:cs="仿宋_GB2312"/>
          <w:kern w:val="0"/>
          <w:sz w:val="32"/>
          <w:szCs w:val="32"/>
        </w:rPr>
        <w:t>在邕职业院校调研，</w:t>
      </w:r>
      <w:r>
        <w:rPr>
          <w:rFonts w:hint="eastAsia" w:ascii="仿宋_GB2312" w:hAnsi="仿宋_GB2312" w:eastAsia="仿宋_GB2312" w:cs="仿宋_GB2312"/>
          <w:kern w:val="0"/>
          <w:sz w:val="32"/>
          <w:szCs w:val="32"/>
          <w:lang w:eastAsia="zh-CN"/>
        </w:rPr>
        <w:t>起草形成</w:t>
      </w:r>
      <w:r>
        <w:rPr>
          <w:rFonts w:hint="eastAsia" w:ascii="仿宋_GB2312" w:hAnsi="仿宋_GB2312" w:eastAsia="仿宋_GB2312" w:cs="仿宋_GB2312"/>
          <w:color w:val="auto"/>
          <w:kern w:val="0"/>
          <w:sz w:val="32"/>
          <w:szCs w:val="32"/>
          <w:highlight w:val="none"/>
          <w:lang w:val="en-US" w:eastAsia="zh-CN"/>
        </w:rPr>
        <w:t>《若干措施</w:t>
      </w:r>
      <w:r>
        <w:rPr>
          <w:rFonts w:hint="eastAsia" w:ascii="仿宋_GB2312" w:hAnsi="仿宋_GB2312" w:eastAsia="仿宋_GB2312" w:cs="仿宋_GB2312"/>
          <w:kern w:val="0"/>
          <w:sz w:val="32"/>
          <w:szCs w:val="32"/>
        </w:rPr>
        <w:t>（征求意见稿）</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kern w:val="0"/>
          <w:sz w:val="32"/>
          <w:szCs w:val="32"/>
        </w:rPr>
        <w:t>。</w:t>
      </w:r>
      <w:r>
        <w:rPr>
          <w:rFonts w:hint="eastAsia" w:ascii="仿宋_GB2312" w:hAnsi="仿宋_GB2312" w:eastAsia="仿宋_GB2312" w:cs="仿宋_GB2312"/>
          <w:bCs/>
          <w:sz w:val="32"/>
          <w:szCs w:val="32"/>
        </w:rPr>
        <w:t>先后召开座谈会</w:t>
      </w:r>
      <w:r>
        <w:rPr>
          <w:rFonts w:hint="eastAsia" w:ascii="仿宋_GB2312" w:hAnsi="仿宋_GB2312" w:eastAsia="仿宋_GB2312" w:cs="仿宋_GB2312"/>
          <w:bCs/>
          <w:sz w:val="32"/>
          <w:szCs w:val="32"/>
          <w:lang w:eastAsia="zh-CN"/>
        </w:rPr>
        <w:t>和</w:t>
      </w:r>
      <w:r>
        <w:rPr>
          <w:rFonts w:hint="eastAsia" w:ascii="仿宋_GB2312" w:hAnsi="仿宋_GB2312" w:eastAsia="仿宋_GB2312" w:cs="仿宋_GB2312"/>
          <w:bCs/>
          <w:sz w:val="32"/>
          <w:szCs w:val="32"/>
        </w:rPr>
        <w:t>专题研究会，听取市直各有关部门、市属职业院校、驻邕高职院校、在邕企业代表对进一步深化产教融合促进职业教育开放合作的意见建议。召开专家论证会和风险评估会，就文件的合理性、合法性、可行性予以</w:t>
      </w:r>
      <w:r>
        <w:rPr>
          <w:rFonts w:hint="eastAsia" w:ascii="仿宋_GB2312" w:hAnsi="仿宋_GB2312" w:eastAsia="仿宋_GB2312" w:cs="仿宋_GB2312"/>
          <w:sz w:val="32"/>
          <w:szCs w:val="32"/>
        </w:rPr>
        <w:t>研究，就风险点进行评估论证。</w:t>
      </w:r>
      <w:r>
        <w:rPr>
          <w:rFonts w:hint="eastAsia" w:ascii="仿宋_GB2312" w:hAnsi="仿宋_GB2312" w:eastAsia="仿宋_GB2312" w:cs="仿宋_GB2312"/>
          <w:bCs/>
          <w:sz w:val="32"/>
          <w:szCs w:val="32"/>
          <w:lang w:eastAsia="zh-CN"/>
        </w:rPr>
        <w:t>先后五次征求意见后</w:t>
      </w:r>
      <w:r>
        <w:rPr>
          <w:rFonts w:hint="eastAsia" w:ascii="仿宋_GB2312" w:hAnsi="仿宋_GB2312" w:eastAsia="仿宋_GB2312" w:cs="仿宋_GB2312"/>
          <w:sz w:val="32"/>
          <w:szCs w:val="32"/>
        </w:rPr>
        <w:t>，形成</w:t>
      </w:r>
      <w:r>
        <w:rPr>
          <w:rFonts w:hint="eastAsia" w:ascii="仿宋_GB2312" w:hAnsi="仿宋_GB2312" w:eastAsia="仿宋_GB2312" w:cs="仿宋_GB2312"/>
          <w:sz w:val="32"/>
          <w:szCs w:val="32"/>
          <w:lang w:eastAsia="zh-CN"/>
        </w:rPr>
        <w:t>公开征求意见</w:t>
      </w:r>
      <w:r>
        <w:rPr>
          <w:rFonts w:hint="eastAsia" w:ascii="仿宋_GB2312" w:hAnsi="仿宋_GB2312" w:eastAsia="仿宋_GB2312" w:cs="仿宋_GB2312"/>
          <w:sz w:val="32"/>
          <w:szCs w:val="32"/>
        </w:rPr>
        <w:t>稿。</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eastAsia="黑体"/>
          <w:bCs/>
          <w:sz w:val="32"/>
          <w:szCs w:val="32"/>
        </w:rPr>
      </w:pPr>
      <w:r>
        <w:rPr>
          <w:rFonts w:hint="eastAsia" w:eastAsia="黑体"/>
          <w:bCs/>
          <w:sz w:val="32"/>
          <w:szCs w:val="32"/>
        </w:rPr>
        <w:t>三</w:t>
      </w:r>
      <w:r>
        <w:rPr>
          <w:rFonts w:eastAsia="黑体"/>
          <w:bCs/>
          <w:sz w:val="32"/>
          <w:szCs w:val="32"/>
        </w:rPr>
        <w:t>、文件主要内容说明</w:t>
      </w:r>
    </w:p>
    <w:p>
      <w:pPr>
        <w:keepNext w:val="0"/>
        <w:keepLines w:val="0"/>
        <w:pageBreakBefore w:val="0"/>
        <w:kinsoku/>
        <w:wordWrap/>
        <w:overflowPunct/>
        <w:topLinePunct w:val="0"/>
        <w:autoSpaceDE/>
        <w:autoSpaceDN/>
        <w:bidi w:val="0"/>
        <w:spacing w:line="560" w:lineRule="exact"/>
        <w:ind w:firstLine="640" w:firstLineChars="200"/>
        <w:textAlignment w:val="auto"/>
        <w:outlineLvl w:val="9"/>
        <w:rPr>
          <w:rFonts w:hint="eastAsia" w:eastAsia="仿宋_GB2312"/>
          <w:b/>
          <w:sz w:val="32"/>
          <w:szCs w:val="32"/>
          <w:lang w:eastAsia="zh-CN"/>
        </w:rPr>
      </w:pPr>
      <w:r>
        <w:rPr>
          <w:rFonts w:hint="eastAsia" w:ascii="仿宋_GB2312" w:hAnsi="仿宋_GB2312" w:eastAsia="仿宋_GB2312" w:cs="仿宋_GB2312"/>
          <w:sz w:val="32"/>
          <w:szCs w:val="32"/>
        </w:rPr>
        <w:t>《若干措施》</w:t>
      </w:r>
      <w:r>
        <w:rPr>
          <w:rFonts w:hint="eastAsia" w:ascii="仿宋_GB2312" w:hAnsi="仿宋_GB2312" w:eastAsia="仿宋_GB2312" w:cs="仿宋_GB2312"/>
          <w:sz w:val="32"/>
          <w:szCs w:val="32"/>
          <w:lang w:val="en-US" w:eastAsia="zh-CN"/>
        </w:rPr>
        <w:t>聚焦</w:t>
      </w:r>
      <w:r>
        <w:rPr>
          <w:rFonts w:hint="eastAsia" w:ascii="仿宋_GB2312" w:hAnsi="仿宋_GB2312" w:eastAsia="仿宋_GB2312" w:cs="仿宋_GB2312"/>
          <w:sz w:val="32"/>
          <w:szCs w:val="32"/>
        </w:rPr>
        <w:t>落实《教育部 广西壮族自治区人民政府关于推动产教集聚融合打造面向东盟的职业教育开放合作创新高地的实施方案》重点任务，</w:t>
      </w:r>
      <w:r>
        <w:rPr>
          <w:rFonts w:hint="eastAsia" w:ascii="仿宋_GB2312" w:hAnsi="仿宋_GB2312" w:eastAsia="仿宋_GB2312" w:cs="仿宋_GB2312"/>
          <w:kern w:val="0"/>
          <w:sz w:val="32"/>
          <w:szCs w:val="32"/>
          <w:lang w:bidi="ar"/>
        </w:rPr>
        <w:t>在国家、自治区现行政策的基础上，</w:t>
      </w:r>
      <w:r>
        <w:rPr>
          <w:rFonts w:hint="eastAsia" w:eastAsia="仿宋_GB2312"/>
          <w:sz w:val="32"/>
          <w:szCs w:val="32"/>
        </w:rPr>
        <w:t>深入挖掘增量政策空间，</w:t>
      </w:r>
      <w:r>
        <w:rPr>
          <w:rFonts w:hint="eastAsia" w:ascii="仿宋_GB2312" w:hAnsi="仿宋_GB2312" w:eastAsia="仿宋_GB2312" w:cs="仿宋_GB2312"/>
          <w:kern w:val="0"/>
          <w:sz w:val="32"/>
          <w:szCs w:val="32"/>
          <w:lang w:bidi="ar"/>
        </w:rPr>
        <w:t>提出了“金融</w:t>
      </w:r>
      <w:r>
        <w:rPr>
          <w:rFonts w:hint="eastAsia" w:ascii="仿宋_GB2312" w:hAnsi="仿宋_GB2312" w:eastAsia="仿宋_GB2312" w:cs="仿宋_GB2312"/>
          <w:kern w:val="0"/>
          <w:sz w:val="32"/>
          <w:szCs w:val="32"/>
          <w:lang w:val="en-US" w:eastAsia="zh-CN" w:bidi="ar"/>
        </w:rPr>
        <w:t>+财政</w:t>
      </w:r>
      <w:r>
        <w:rPr>
          <w:rFonts w:hint="eastAsia" w:ascii="仿宋_GB2312" w:hAnsi="仿宋_GB2312" w:eastAsia="仿宋_GB2312" w:cs="仿宋_GB2312"/>
          <w:kern w:val="0"/>
          <w:sz w:val="32"/>
          <w:szCs w:val="32"/>
          <w:lang w:bidi="ar"/>
        </w:rPr>
        <w:t>+土地+信用”“技术创新+成果转化”的组合激励，并在鼓励社会力量参与职业教育、</w:t>
      </w:r>
      <w:r>
        <w:rPr>
          <w:rFonts w:hint="eastAsia" w:ascii="仿宋_GB2312" w:hAnsi="仿宋_GB2312" w:eastAsia="仿宋_GB2312" w:cs="仿宋_GB2312"/>
          <w:kern w:val="0"/>
          <w:sz w:val="32"/>
          <w:szCs w:val="32"/>
          <w:lang w:eastAsia="zh-CN" w:bidi="ar"/>
        </w:rPr>
        <w:t>提升职业院校服务产业能力、</w:t>
      </w:r>
      <w:r>
        <w:rPr>
          <w:rFonts w:hint="eastAsia" w:ascii="仿宋_GB2312" w:hAnsi="仿宋_GB2312" w:eastAsia="仿宋_GB2312" w:cs="仿宋_GB2312"/>
          <w:kern w:val="0"/>
          <w:sz w:val="32"/>
          <w:szCs w:val="32"/>
          <w:lang w:bidi="ar"/>
        </w:rPr>
        <w:t>优化教师资源配置、</w:t>
      </w:r>
      <w:r>
        <w:rPr>
          <w:rFonts w:hint="eastAsia" w:ascii="仿宋_GB2312" w:hAnsi="仿宋_GB2312" w:eastAsia="仿宋_GB2312" w:cs="仿宋_GB2312"/>
          <w:kern w:val="0"/>
          <w:sz w:val="32"/>
          <w:szCs w:val="32"/>
          <w:lang w:eastAsia="zh-CN" w:bidi="ar"/>
        </w:rPr>
        <w:t>促进国际合作交流</w:t>
      </w:r>
      <w:r>
        <w:rPr>
          <w:rFonts w:hint="eastAsia" w:ascii="仿宋_GB2312" w:hAnsi="仿宋_GB2312" w:eastAsia="仿宋_GB2312" w:cs="仿宋_GB2312"/>
          <w:kern w:val="0"/>
          <w:sz w:val="32"/>
          <w:szCs w:val="32"/>
          <w:lang w:bidi="ar"/>
        </w:rPr>
        <w:t>上提出了创新政策措施，</w:t>
      </w:r>
      <w:r>
        <w:rPr>
          <w:rFonts w:hint="eastAsia" w:eastAsia="仿宋_GB2312"/>
          <w:sz w:val="32"/>
          <w:szCs w:val="32"/>
        </w:rPr>
        <w:t>让行业企业、职业院校、教师学生等主体享受到合作区的政策“红利”。</w:t>
      </w:r>
      <w:r>
        <w:rPr>
          <w:rFonts w:hint="eastAsia" w:ascii="仿宋_GB2312" w:hAnsi="仿宋_GB2312" w:eastAsia="仿宋_GB2312" w:cs="仿宋_GB2312"/>
          <w:sz w:val="32"/>
          <w:szCs w:val="32"/>
          <w:lang w:val="en-US" w:eastAsia="zh-CN"/>
        </w:rPr>
        <w:t>全文</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七个部分</w:t>
      </w:r>
      <w:r>
        <w:rPr>
          <w:rFonts w:hint="eastAsia" w:ascii="仿宋_GB2312" w:hAnsi="仿宋_GB2312" w:eastAsia="仿宋_GB2312" w:cs="仿宋_GB2312"/>
          <w:sz w:val="32"/>
          <w:szCs w:val="32"/>
        </w:rPr>
        <w:t>构成</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lang w:val="en-US" w:eastAsia="zh-CN"/>
        </w:rPr>
        <w:t>23条措施</w:t>
      </w:r>
      <w:r>
        <w:rPr>
          <w:rFonts w:hint="eastAsia" w:ascii="仿宋_GB2312" w:hAnsi="仿宋_GB2312" w:eastAsia="仿宋_GB2312" w:cs="仿宋_GB2312"/>
          <w:sz w:val="32"/>
          <w:szCs w:val="32"/>
        </w:rPr>
        <w:t>。</w:t>
      </w:r>
    </w:p>
    <w:p>
      <w:pPr>
        <w:pStyle w:val="15"/>
        <w:keepNext w:val="0"/>
        <w:keepLines w:val="0"/>
        <w:pageBreakBefore w:val="0"/>
        <w:kinsoku/>
        <w:wordWrap/>
        <w:overflowPunct/>
        <w:topLinePunct w:val="0"/>
        <w:autoSpaceDE/>
        <w:autoSpaceDN/>
        <w:bidi w:val="0"/>
        <w:spacing w:line="560" w:lineRule="exact"/>
        <w:ind w:firstLine="643"/>
        <w:textAlignment w:val="auto"/>
        <w:outlineLvl w:val="9"/>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第一部分，</w:t>
      </w:r>
      <w:r>
        <w:rPr>
          <w:rFonts w:hint="eastAsia" w:ascii="仿宋_GB2312" w:hAnsi="仿宋_GB2312" w:eastAsia="仿宋_GB2312" w:cs="仿宋_GB2312"/>
          <w:b w:val="0"/>
          <w:bCs/>
          <w:sz w:val="32"/>
          <w:szCs w:val="32"/>
        </w:rPr>
        <w:t>实行“金融+</w:t>
      </w:r>
      <w:r>
        <w:rPr>
          <w:rFonts w:hint="eastAsia" w:ascii="仿宋_GB2312" w:hAnsi="仿宋_GB2312" w:eastAsia="仿宋_GB2312" w:cs="仿宋_GB2312"/>
          <w:b w:val="0"/>
          <w:bCs/>
          <w:sz w:val="32"/>
          <w:szCs w:val="32"/>
          <w:lang w:eastAsia="zh-CN"/>
        </w:rPr>
        <w:t>财政</w:t>
      </w:r>
      <w:r>
        <w:rPr>
          <w:rFonts w:hint="eastAsia" w:ascii="仿宋_GB2312" w:hAnsi="仿宋_GB2312" w:eastAsia="仿宋_GB2312" w:cs="仿宋_GB2312"/>
          <w:b w:val="0"/>
          <w:bCs/>
          <w:sz w:val="32"/>
          <w:szCs w:val="32"/>
        </w:rPr>
        <w:t>+土地+信用”政策组合激励</w:t>
      </w:r>
      <w:r>
        <w:rPr>
          <w:rFonts w:hint="eastAsia" w:ascii="仿宋_GB2312" w:hAnsi="仿宋_GB2312" w:eastAsia="仿宋_GB2312" w:cs="仿宋_GB2312"/>
          <w:b w:val="0"/>
          <w:bCs/>
          <w:sz w:val="32"/>
          <w:szCs w:val="32"/>
          <w:lang w:eastAsia="zh-CN"/>
        </w:rPr>
        <w:t>，提出了</w:t>
      </w:r>
      <w:r>
        <w:rPr>
          <w:rFonts w:ascii="仿宋_GB2312" w:hAnsi="仿宋_GB2312" w:eastAsia="仿宋_GB2312" w:cs="仿宋_GB2312"/>
          <w:b w:val="0"/>
          <w:bCs/>
          <w:color w:val="auto"/>
          <w:sz w:val="32"/>
          <w:szCs w:val="32"/>
          <w:u w:val="none"/>
        </w:rPr>
        <w:t>在重点行业培育建设产教融合型企业</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加大金融扶持力度</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落实财政扶持政策</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落实土地扶持政策</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加大信用扶持力度</w:t>
      </w:r>
      <w:r>
        <w:rPr>
          <w:rFonts w:hint="eastAsia" w:ascii="仿宋_GB2312" w:hAnsi="仿宋_GB2312" w:eastAsia="仿宋_GB2312" w:cs="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5条措施。</w:t>
      </w:r>
    </w:p>
    <w:p>
      <w:pPr>
        <w:pStyle w:val="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outlineLvl w:val="9"/>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sz w:val="32"/>
          <w:szCs w:val="32"/>
        </w:rPr>
        <w:t>第二</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，鼓励社会力量参与职业教育</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color w:val="auto"/>
          <w:sz w:val="32"/>
          <w:szCs w:val="32"/>
          <w:u w:val="none"/>
        </w:rPr>
        <w:t>探索股份制、混合所有制改革</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鼓励企业参与人才培养</w:t>
      </w:r>
      <w:r>
        <w:rPr>
          <w:rFonts w:hint="eastAsia" w:ascii="仿宋_GB2312" w:hAnsi="仿宋_GB2312" w:eastAsia="仿宋_GB2312" w:cs="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2条措施</w:t>
      </w:r>
      <w:r>
        <w:rPr>
          <w:rFonts w:hint="eastAsia" w:ascii="仿宋_GB2312" w:hAnsi="仿宋_GB2312" w:eastAsia="仿宋_GB2312" w:cs="仿宋_GB2312"/>
          <w:b w:val="0"/>
          <w:bCs/>
          <w:sz w:val="32"/>
          <w:szCs w:val="32"/>
        </w:rPr>
        <w:t>。</w:t>
      </w:r>
    </w:p>
    <w:p>
      <w:pPr>
        <w:keepNext w:val="0"/>
        <w:keepLines w:val="0"/>
        <w:pageBreakBefore w:val="0"/>
        <w:kinsoku/>
        <w:wordWrap/>
        <w:overflowPunct/>
        <w:topLinePunct w:val="0"/>
        <w:autoSpaceDE/>
        <w:autoSpaceDN/>
        <w:bidi w:val="0"/>
        <w:spacing w:line="560" w:lineRule="exact"/>
        <w:ind w:firstLine="640"/>
        <w:textAlignment w:val="auto"/>
        <w:outlineLvl w:val="9"/>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第三</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，实行“技术创新+成果转化”组合激励</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sz w:val="32"/>
          <w:szCs w:val="32"/>
        </w:rPr>
        <w:t>支持技术创新平台建设</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支持技术成果转移转化</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支持产权收益自主</w:t>
      </w:r>
      <w:r>
        <w:rPr>
          <w:rFonts w:hint="eastAsia" w:ascii="仿宋_GB2312" w:hAnsi="仿宋_GB2312" w:eastAsia="仿宋_GB2312" w:cs="仿宋_GB2312"/>
          <w:b w:val="0"/>
          <w:bCs/>
          <w:sz w:val="32"/>
          <w:szCs w:val="32"/>
          <w:lang w:eastAsia="zh-CN"/>
        </w:rPr>
        <w:t>等</w:t>
      </w:r>
      <w:r>
        <w:rPr>
          <w:rFonts w:hint="eastAsia" w:ascii="仿宋_GB2312" w:hAnsi="仿宋_GB2312" w:eastAsia="仿宋_GB2312" w:cs="仿宋_GB2312"/>
          <w:b w:val="0"/>
          <w:bCs/>
          <w:sz w:val="32"/>
          <w:szCs w:val="32"/>
          <w:lang w:val="en-US" w:eastAsia="zh-CN"/>
        </w:rPr>
        <w:t>3条措施</w:t>
      </w:r>
      <w:r>
        <w:rPr>
          <w:rFonts w:hint="eastAsia" w:ascii="仿宋_GB2312" w:hAnsi="仿宋_GB2312" w:eastAsia="仿宋_GB2312" w:cs="仿宋_GB2312"/>
          <w:b w:val="0"/>
          <w:bCs/>
          <w:sz w:val="32"/>
          <w:szCs w:val="32"/>
        </w:rPr>
        <w:t>。</w:t>
      </w:r>
    </w:p>
    <w:p>
      <w:pPr>
        <w:keepNext w:val="0"/>
        <w:keepLines w:val="0"/>
        <w:pageBreakBefore w:val="0"/>
        <w:kinsoku/>
        <w:wordWrap/>
        <w:overflowPunct/>
        <w:topLinePunct w:val="0"/>
        <w:autoSpaceDE/>
        <w:autoSpaceDN/>
        <w:bidi w:val="0"/>
        <w:spacing w:line="560" w:lineRule="exact"/>
        <w:ind w:firstLine="640"/>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rPr>
        <w:t>第四</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，支持职业院校提升服务能力</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color w:val="auto"/>
          <w:sz w:val="32"/>
          <w:szCs w:val="32"/>
          <w:u w:val="none"/>
        </w:rPr>
        <w:t>支持职业院校优化专业设置</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支持职业院校开展职业培训</w:t>
      </w:r>
      <w:r>
        <w:rPr>
          <w:rFonts w:hint="eastAsia" w:ascii="仿宋_GB2312" w:hAnsi="仿宋_GB2312" w:eastAsia="仿宋_GB2312" w:cs="仿宋_GB2312"/>
          <w:b w:val="0"/>
          <w:bCs/>
          <w:color w:val="auto"/>
          <w:sz w:val="32"/>
          <w:szCs w:val="32"/>
          <w:u w:val="none"/>
          <w:lang w:eastAsia="zh-CN"/>
        </w:rPr>
        <w:t>、</w:t>
      </w:r>
      <w:r>
        <w:rPr>
          <w:rFonts w:hint="eastAsia" w:eastAsia="仿宋_GB2312"/>
          <w:b w:val="0"/>
          <w:bCs/>
          <w:color w:val="auto"/>
          <w:sz w:val="32"/>
          <w:szCs w:val="32"/>
          <w:u w:val="none"/>
        </w:rPr>
        <w:t>建立产教融合导向的职业教育质量评价体系</w:t>
      </w:r>
      <w:r>
        <w:rPr>
          <w:rFonts w:hint="eastAsia" w:eastAsia="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3条措施</w:t>
      </w:r>
      <w:r>
        <w:rPr>
          <w:rFonts w:hint="eastAsia" w:ascii="仿宋_GB2312" w:hAnsi="仿宋_GB2312" w:eastAsia="仿宋_GB2312" w:cs="仿宋_GB2312"/>
          <w:b w:val="0"/>
          <w:bCs/>
          <w:sz w:val="32"/>
          <w:szCs w:val="32"/>
        </w:rPr>
        <w:t>。</w:t>
      </w:r>
    </w:p>
    <w:p>
      <w:pPr>
        <w:pStyle w:val="15"/>
        <w:keepNext w:val="0"/>
        <w:keepLines w:val="0"/>
        <w:pageBreakBefore w:val="0"/>
        <w:kinsoku/>
        <w:wordWrap/>
        <w:overflowPunct/>
        <w:topLinePunct w:val="0"/>
        <w:autoSpaceDE/>
        <w:autoSpaceDN/>
        <w:bidi w:val="0"/>
        <w:spacing w:line="560" w:lineRule="exact"/>
        <w:ind w:firstLine="643"/>
        <w:textAlignment w:val="auto"/>
        <w:outlineLvl w:val="9"/>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rPr>
        <w:t>第五</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，优化教师资源配置</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color w:val="auto"/>
          <w:kern w:val="0"/>
          <w:sz w:val="32"/>
          <w:szCs w:val="32"/>
          <w:u w:val="none"/>
          <w:lang w:bidi="ar"/>
        </w:rPr>
        <w:t>配足配齐职业院校专业教师</w:t>
      </w:r>
      <w:r>
        <w:rPr>
          <w:rFonts w:hint="eastAsia" w:ascii="仿宋_GB2312" w:hAnsi="仿宋_GB2312" w:eastAsia="仿宋_GB2312" w:cs="仿宋_GB2312"/>
          <w:b w:val="0"/>
          <w:bCs/>
          <w:color w:val="auto"/>
          <w:kern w:val="0"/>
          <w:sz w:val="32"/>
          <w:szCs w:val="32"/>
          <w:u w:val="none"/>
          <w:lang w:eastAsia="zh-CN" w:bidi="ar"/>
        </w:rPr>
        <w:t>、</w:t>
      </w:r>
      <w:r>
        <w:rPr>
          <w:rFonts w:hint="eastAsia" w:ascii="仿宋_GB2312" w:hAnsi="仿宋_GB2312" w:eastAsia="仿宋_GB2312" w:cs="仿宋_GB2312"/>
          <w:b w:val="0"/>
          <w:bCs/>
          <w:color w:val="auto"/>
          <w:sz w:val="32"/>
          <w:szCs w:val="32"/>
          <w:u w:val="none"/>
        </w:rPr>
        <w:t>建设“名师”引领的高层次人才队伍</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开放急需紧缺高技能人才到职业院校任教的“绿色通道”</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打通企业和职业院校优秀人才的“双向流动”通道</w:t>
      </w:r>
      <w:r>
        <w:rPr>
          <w:rFonts w:hint="eastAsia" w:ascii="仿宋_GB2312" w:hAnsi="仿宋_GB2312" w:eastAsia="仿宋_GB2312" w:cs="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4条措施</w:t>
      </w:r>
      <w:r>
        <w:rPr>
          <w:rFonts w:hint="eastAsia" w:ascii="仿宋_GB2312" w:hAnsi="仿宋_GB2312" w:eastAsia="仿宋_GB2312" w:cs="仿宋_GB2312"/>
          <w:b w:val="0"/>
          <w:bCs/>
          <w:sz w:val="32"/>
          <w:szCs w:val="32"/>
        </w:rPr>
        <w:t>。</w:t>
      </w:r>
    </w:p>
    <w:p>
      <w:pPr>
        <w:pStyle w:val="15"/>
        <w:keepNext w:val="0"/>
        <w:keepLines w:val="0"/>
        <w:pageBreakBefore w:val="0"/>
        <w:kinsoku/>
        <w:wordWrap/>
        <w:overflowPunct/>
        <w:topLinePunct w:val="0"/>
        <w:autoSpaceDE/>
        <w:autoSpaceDN/>
        <w:bidi w:val="0"/>
        <w:spacing w:line="560" w:lineRule="exact"/>
        <w:ind w:firstLine="643"/>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第六</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，支持职业院校加强对外合作交流</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color w:val="auto"/>
          <w:sz w:val="32"/>
          <w:szCs w:val="32"/>
          <w:u w:val="none"/>
        </w:rPr>
        <w:t>鼓励职业院校引进外籍人员来邕任教</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鼓励职业院校面向东盟招收优秀留学生</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支持职业教育伴随企业“走出去”</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给予中国—东盟现代工匠学院建设补助</w:t>
      </w:r>
      <w:r>
        <w:rPr>
          <w:rFonts w:hint="eastAsia" w:ascii="仿宋_GB2312" w:hAnsi="仿宋_GB2312" w:eastAsia="仿宋_GB2312" w:cs="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4条措施</w:t>
      </w:r>
      <w:r>
        <w:rPr>
          <w:rFonts w:hint="eastAsia" w:ascii="仿宋_GB2312" w:hAnsi="仿宋_GB2312" w:eastAsia="仿宋_GB2312" w:cs="仿宋_GB2312"/>
          <w:b w:val="0"/>
          <w:bCs/>
          <w:sz w:val="32"/>
          <w:szCs w:val="32"/>
        </w:rPr>
        <w:t>。</w:t>
      </w:r>
    </w:p>
    <w:p>
      <w:pPr>
        <w:pStyle w:val="15"/>
        <w:keepNext w:val="0"/>
        <w:keepLines w:val="0"/>
        <w:pageBreakBefore w:val="0"/>
        <w:kinsoku/>
        <w:wordWrap/>
        <w:overflowPunct/>
        <w:topLinePunct w:val="0"/>
        <w:autoSpaceDE/>
        <w:autoSpaceDN/>
        <w:bidi w:val="0"/>
        <w:spacing w:line="560" w:lineRule="exact"/>
        <w:ind w:firstLine="643"/>
        <w:textAlignment w:val="auto"/>
        <w:outlineLvl w:val="9"/>
        <w:rPr>
          <w:rFonts w:ascii="仿宋_GB2312" w:hAnsi="仿宋_GB2312" w:eastAsia="仿宋_GB2312" w:cs="仿宋_GB2312"/>
          <w:b w:val="0"/>
          <w:bCs/>
          <w:kern w:val="0"/>
          <w:sz w:val="32"/>
          <w:szCs w:val="32"/>
          <w:lang w:bidi="ar"/>
        </w:rPr>
      </w:pPr>
      <w:r>
        <w:rPr>
          <w:rFonts w:hint="eastAsia" w:ascii="仿宋_GB2312" w:hAnsi="仿宋_GB2312" w:eastAsia="仿宋_GB2312" w:cs="仿宋_GB2312"/>
          <w:b w:val="0"/>
          <w:bCs/>
          <w:sz w:val="32"/>
          <w:szCs w:val="32"/>
        </w:rPr>
        <w:t>第七</w:t>
      </w:r>
      <w:r>
        <w:rPr>
          <w:rFonts w:hint="eastAsia" w:ascii="仿宋_GB2312" w:hAnsi="仿宋_GB2312" w:eastAsia="仿宋_GB2312" w:cs="仿宋_GB2312"/>
          <w:b w:val="0"/>
          <w:bCs/>
          <w:sz w:val="32"/>
          <w:szCs w:val="32"/>
          <w:lang w:eastAsia="zh-CN"/>
        </w:rPr>
        <w:t>部分</w:t>
      </w:r>
      <w:r>
        <w:rPr>
          <w:rFonts w:hint="eastAsia" w:ascii="仿宋_GB2312" w:hAnsi="仿宋_GB2312" w:eastAsia="仿宋_GB2312" w:cs="仿宋_GB2312"/>
          <w:b w:val="0"/>
          <w:bCs/>
          <w:sz w:val="32"/>
          <w:szCs w:val="32"/>
        </w:rPr>
        <w:t>，打造面向东盟的职业教育研究智库</w:t>
      </w:r>
      <w:r>
        <w:rPr>
          <w:rFonts w:hint="eastAsia" w:ascii="仿宋_GB2312" w:hAnsi="仿宋_GB2312" w:eastAsia="仿宋_GB2312" w:cs="仿宋_GB2312"/>
          <w:b w:val="0"/>
          <w:bCs/>
          <w:sz w:val="32"/>
          <w:szCs w:val="32"/>
          <w:lang w:eastAsia="zh-CN"/>
        </w:rPr>
        <w:t>，提出了</w:t>
      </w:r>
      <w:r>
        <w:rPr>
          <w:rFonts w:hint="eastAsia" w:ascii="仿宋_GB2312" w:hAnsi="仿宋_GB2312" w:eastAsia="仿宋_GB2312" w:cs="仿宋_GB2312"/>
          <w:b w:val="0"/>
          <w:bCs/>
          <w:color w:val="auto"/>
          <w:sz w:val="32"/>
          <w:szCs w:val="32"/>
          <w:u w:val="none"/>
        </w:rPr>
        <w:t>推动职业教育研究机构改革</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建设产教融合行业协会</w:t>
      </w:r>
      <w:r>
        <w:rPr>
          <w:rFonts w:hint="eastAsia" w:ascii="仿宋_GB2312" w:hAnsi="仿宋_GB2312" w:eastAsia="仿宋_GB2312" w:cs="仿宋_GB2312"/>
          <w:b w:val="0"/>
          <w:bCs/>
          <w:color w:val="auto"/>
          <w:sz w:val="32"/>
          <w:szCs w:val="32"/>
          <w:u w:val="none"/>
          <w:lang w:eastAsia="zh-CN"/>
        </w:rPr>
        <w:t>等</w:t>
      </w:r>
      <w:r>
        <w:rPr>
          <w:rFonts w:hint="eastAsia" w:ascii="仿宋_GB2312" w:hAnsi="仿宋_GB2312" w:eastAsia="仿宋_GB2312" w:cs="仿宋_GB2312"/>
          <w:b w:val="0"/>
          <w:bCs/>
          <w:sz w:val="32"/>
          <w:szCs w:val="32"/>
          <w:lang w:val="en-US" w:eastAsia="zh-CN"/>
        </w:rPr>
        <w:t>2条措施</w:t>
      </w:r>
      <w:r>
        <w:rPr>
          <w:rFonts w:hint="eastAsia" w:ascii="仿宋_GB2312" w:hAnsi="仿宋_GB2312" w:eastAsia="仿宋_GB2312" w:cs="仿宋_GB2312"/>
          <w:b w:val="0"/>
          <w:bCs/>
          <w:sz w:val="32"/>
          <w:szCs w:val="32"/>
        </w:rPr>
        <w:t>。</w:t>
      </w:r>
    </w:p>
    <w:sectPr>
      <w:footerReference r:id="rId3" w:type="default"/>
      <w:pgSz w:w="11906" w:h="16838"/>
      <w:pgMar w:top="1701" w:right="1474" w:bottom="170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931F5D6-2F57-457E-AEB6-3FD69FB5030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2" w:fontKey="{575A08FD-245A-487F-AC29-7BB6E8107335}"/>
  </w:font>
  <w:font w:name="仿宋_GB2312">
    <w:altName w:val="仿宋"/>
    <w:panose1 w:val="02010609030101010101"/>
    <w:charset w:val="86"/>
    <w:family w:val="modern"/>
    <w:pitch w:val="default"/>
    <w:sig w:usb0="00000000" w:usb1="00000000" w:usb2="00000000" w:usb3="00000000" w:csb0="00040000" w:csb1="00000000"/>
    <w:embedRegular r:id="rId3" w:fontKey="{6DE344EC-3D07-46B1-8D27-72224AC76966}"/>
  </w:font>
  <w:font w:name="楷体_GB2312">
    <w:altName w:val="楷体"/>
    <w:panose1 w:val="02010609030101010101"/>
    <w:charset w:val="86"/>
    <w:family w:val="modern"/>
    <w:pitch w:val="default"/>
    <w:sig w:usb0="00000000" w:usb1="00000000" w:usb2="00000000" w:usb3="00000000" w:csb0="00040000" w:csb1="00000000"/>
    <w:embedRegular r:id="rId4" w:fontKey="{9E22842A-EEBF-4FC2-AD64-D43D77EC7B23}"/>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rPr>
                            <w:t>- 5 -</w:t>
                          </w:r>
                          <w:r>
                            <w:rPr>
                              <w:rFonts w:hint="eastAsia" w:ascii="楷体_GB2312" w:hAnsi="楷体_GB2312" w:eastAsia="楷体_GB2312" w:cs="楷体_GB2312"/>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DgdDgMpQEAAD8DAAAOAAAAAAAA&#10;AAEAIAAAAB4BAABkcnMvZTJvRG9jLnhtbFBLBQYAAAAABgAGAFkBAAA1BQAAAAA=&#10;">
              <v:fill on="f" focussize="0,0"/>
              <v:stroke on="f"/>
              <v:imagedata o:title=""/>
              <o:lock v:ext="edit" aspectratio="f"/>
              <v:textbox inset="0mm,0mm,0mm,0mm" style="mso-fit-shape-to-text:t;">
                <w:txbxContent>
                  <w:p>
                    <w:pPr>
                      <w:pStyle w:val="5"/>
                      <w:rPr>
                        <w:rFonts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rPr>
                      <w:t>- 5 -</w:t>
                    </w:r>
                    <w:r>
                      <w:rPr>
                        <w:rFonts w:hint="eastAsia" w:ascii="楷体_GB2312" w:hAnsi="楷体_GB2312" w:eastAsia="楷体_GB2312" w:cs="楷体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3ODk1ODg1NjliNjNiYzNmYzQyMTVlYmUyYjI4MTcifQ=="/>
  </w:docVars>
  <w:rsids>
    <w:rsidRoot w:val="3B311994"/>
    <w:rsid w:val="00041976"/>
    <w:rsid w:val="001D41D8"/>
    <w:rsid w:val="0027115F"/>
    <w:rsid w:val="00455487"/>
    <w:rsid w:val="00475AB0"/>
    <w:rsid w:val="0048342D"/>
    <w:rsid w:val="00563274"/>
    <w:rsid w:val="00584B5D"/>
    <w:rsid w:val="006431C8"/>
    <w:rsid w:val="00654B9F"/>
    <w:rsid w:val="00726597"/>
    <w:rsid w:val="0099420C"/>
    <w:rsid w:val="00997DA1"/>
    <w:rsid w:val="00A942CD"/>
    <w:rsid w:val="00B92181"/>
    <w:rsid w:val="00C60B5C"/>
    <w:rsid w:val="00C91238"/>
    <w:rsid w:val="00CA08BB"/>
    <w:rsid w:val="00DD2C24"/>
    <w:rsid w:val="00EC0B50"/>
    <w:rsid w:val="00EF5E11"/>
    <w:rsid w:val="00F35FA6"/>
    <w:rsid w:val="00F618B4"/>
    <w:rsid w:val="00F64C6A"/>
    <w:rsid w:val="01185EB3"/>
    <w:rsid w:val="01492F7E"/>
    <w:rsid w:val="01541279"/>
    <w:rsid w:val="01804A4C"/>
    <w:rsid w:val="01880F8C"/>
    <w:rsid w:val="02072A78"/>
    <w:rsid w:val="021B38BB"/>
    <w:rsid w:val="02A26CAD"/>
    <w:rsid w:val="02DC2159"/>
    <w:rsid w:val="02E57C5F"/>
    <w:rsid w:val="02F077A8"/>
    <w:rsid w:val="02F6150D"/>
    <w:rsid w:val="03020F27"/>
    <w:rsid w:val="032F04D8"/>
    <w:rsid w:val="03B53796"/>
    <w:rsid w:val="03BA0F15"/>
    <w:rsid w:val="03BC0A20"/>
    <w:rsid w:val="03E25039"/>
    <w:rsid w:val="03E41D5A"/>
    <w:rsid w:val="040C778A"/>
    <w:rsid w:val="04904DCB"/>
    <w:rsid w:val="04E07275"/>
    <w:rsid w:val="04EE2278"/>
    <w:rsid w:val="04EF7925"/>
    <w:rsid w:val="04F4602F"/>
    <w:rsid w:val="051E5877"/>
    <w:rsid w:val="053636C3"/>
    <w:rsid w:val="05462ABE"/>
    <w:rsid w:val="05791DB8"/>
    <w:rsid w:val="05C519DD"/>
    <w:rsid w:val="05D4686F"/>
    <w:rsid w:val="05E96B4C"/>
    <w:rsid w:val="05FD14C1"/>
    <w:rsid w:val="05FD4CCD"/>
    <w:rsid w:val="063F2B0C"/>
    <w:rsid w:val="06B812EA"/>
    <w:rsid w:val="06C95702"/>
    <w:rsid w:val="06CE0A65"/>
    <w:rsid w:val="06FD7809"/>
    <w:rsid w:val="07633079"/>
    <w:rsid w:val="07E218B8"/>
    <w:rsid w:val="082F4B70"/>
    <w:rsid w:val="087B37D1"/>
    <w:rsid w:val="08EF7E2E"/>
    <w:rsid w:val="090D0FBD"/>
    <w:rsid w:val="09748838"/>
    <w:rsid w:val="09D92379"/>
    <w:rsid w:val="09FB1114"/>
    <w:rsid w:val="0A3016CE"/>
    <w:rsid w:val="0A8541EB"/>
    <w:rsid w:val="0A8C2213"/>
    <w:rsid w:val="0ADC3CA6"/>
    <w:rsid w:val="0ADC6AE3"/>
    <w:rsid w:val="0B1F0514"/>
    <w:rsid w:val="0B45656E"/>
    <w:rsid w:val="0B88175E"/>
    <w:rsid w:val="0B8F2F44"/>
    <w:rsid w:val="0BA40930"/>
    <w:rsid w:val="0BD21FD8"/>
    <w:rsid w:val="0BD240F7"/>
    <w:rsid w:val="0C4E753D"/>
    <w:rsid w:val="0CC833FC"/>
    <w:rsid w:val="0D0C631C"/>
    <w:rsid w:val="0D6826B8"/>
    <w:rsid w:val="0E5378BC"/>
    <w:rsid w:val="0E5E1ABE"/>
    <w:rsid w:val="0F4A1381"/>
    <w:rsid w:val="0F7A07FE"/>
    <w:rsid w:val="0F9017CA"/>
    <w:rsid w:val="0FAD173A"/>
    <w:rsid w:val="0FF4C2C3"/>
    <w:rsid w:val="100B32C1"/>
    <w:rsid w:val="10396EDE"/>
    <w:rsid w:val="103E64D9"/>
    <w:rsid w:val="105C6685"/>
    <w:rsid w:val="10601297"/>
    <w:rsid w:val="1148533B"/>
    <w:rsid w:val="114A2B75"/>
    <w:rsid w:val="1151658F"/>
    <w:rsid w:val="115C6273"/>
    <w:rsid w:val="115F467E"/>
    <w:rsid w:val="117143B2"/>
    <w:rsid w:val="11B930B4"/>
    <w:rsid w:val="11C456EA"/>
    <w:rsid w:val="11C70972"/>
    <w:rsid w:val="11FA43A7"/>
    <w:rsid w:val="12CF6311"/>
    <w:rsid w:val="13407E23"/>
    <w:rsid w:val="134506EA"/>
    <w:rsid w:val="13797680"/>
    <w:rsid w:val="13916603"/>
    <w:rsid w:val="13A520F1"/>
    <w:rsid w:val="13CF1D9E"/>
    <w:rsid w:val="13DC1FB6"/>
    <w:rsid w:val="13EE1CEA"/>
    <w:rsid w:val="13EF4611"/>
    <w:rsid w:val="1413499D"/>
    <w:rsid w:val="14517D16"/>
    <w:rsid w:val="14575AE1"/>
    <w:rsid w:val="145853B5"/>
    <w:rsid w:val="14B67F58"/>
    <w:rsid w:val="159D5515"/>
    <w:rsid w:val="15F315EF"/>
    <w:rsid w:val="15F34C81"/>
    <w:rsid w:val="16070E41"/>
    <w:rsid w:val="164756E1"/>
    <w:rsid w:val="16701988"/>
    <w:rsid w:val="168D5EB5"/>
    <w:rsid w:val="16BB2D25"/>
    <w:rsid w:val="16D74BE2"/>
    <w:rsid w:val="16DDF277"/>
    <w:rsid w:val="172E3D08"/>
    <w:rsid w:val="17372215"/>
    <w:rsid w:val="17872E14"/>
    <w:rsid w:val="17B9167F"/>
    <w:rsid w:val="180C0990"/>
    <w:rsid w:val="1838000E"/>
    <w:rsid w:val="187200D3"/>
    <w:rsid w:val="1887104A"/>
    <w:rsid w:val="189F1804"/>
    <w:rsid w:val="18A312F5"/>
    <w:rsid w:val="19146645"/>
    <w:rsid w:val="19173A91"/>
    <w:rsid w:val="19862F97"/>
    <w:rsid w:val="19A075E2"/>
    <w:rsid w:val="19AE7302"/>
    <w:rsid w:val="19CB24E5"/>
    <w:rsid w:val="1A213E79"/>
    <w:rsid w:val="1A4343F7"/>
    <w:rsid w:val="1A55661F"/>
    <w:rsid w:val="1B06092C"/>
    <w:rsid w:val="1B960C25"/>
    <w:rsid w:val="1BE627B3"/>
    <w:rsid w:val="1C146065"/>
    <w:rsid w:val="1C284B16"/>
    <w:rsid w:val="1C635BF9"/>
    <w:rsid w:val="1C787E80"/>
    <w:rsid w:val="1C8E5E18"/>
    <w:rsid w:val="1C8F17F0"/>
    <w:rsid w:val="1C902FCF"/>
    <w:rsid w:val="1D332048"/>
    <w:rsid w:val="1D752B7B"/>
    <w:rsid w:val="1D9B6109"/>
    <w:rsid w:val="1DDD46B8"/>
    <w:rsid w:val="1E260D35"/>
    <w:rsid w:val="1E8B4F7D"/>
    <w:rsid w:val="1E8C3780"/>
    <w:rsid w:val="1E9109C4"/>
    <w:rsid w:val="1EC02FA4"/>
    <w:rsid w:val="1EED3122"/>
    <w:rsid w:val="1F1752E8"/>
    <w:rsid w:val="1F184E96"/>
    <w:rsid w:val="1FA918BD"/>
    <w:rsid w:val="1FD35FBB"/>
    <w:rsid w:val="1FF7555E"/>
    <w:rsid w:val="200B000D"/>
    <w:rsid w:val="201A3C67"/>
    <w:rsid w:val="20611214"/>
    <w:rsid w:val="206C1284"/>
    <w:rsid w:val="20734C80"/>
    <w:rsid w:val="20B428EC"/>
    <w:rsid w:val="20F82997"/>
    <w:rsid w:val="215460B8"/>
    <w:rsid w:val="217557F8"/>
    <w:rsid w:val="21A4173F"/>
    <w:rsid w:val="220821C8"/>
    <w:rsid w:val="22160D89"/>
    <w:rsid w:val="22720B1A"/>
    <w:rsid w:val="22C94D18"/>
    <w:rsid w:val="22EC5646"/>
    <w:rsid w:val="231E4F4C"/>
    <w:rsid w:val="23437E47"/>
    <w:rsid w:val="235918B7"/>
    <w:rsid w:val="237F259E"/>
    <w:rsid w:val="23BF0108"/>
    <w:rsid w:val="23E30682"/>
    <w:rsid w:val="24184805"/>
    <w:rsid w:val="241906BD"/>
    <w:rsid w:val="242B1F92"/>
    <w:rsid w:val="24DC1921"/>
    <w:rsid w:val="24DC4B11"/>
    <w:rsid w:val="24F25E4D"/>
    <w:rsid w:val="25496D80"/>
    <w:rsid w:val="256718FC"/>
    <w:rsid w:val="257253A8"/>
    <w:rsid w:val="258F5B44"/>
    <w:rsid w:val="25C26B32"/>
    <w:rsid w:val="25DA4025"/>
    <w:rsid w:val="25DB1EF0"/>
    <w:rsid w:val="25E847EB"/>
    <w:rsid w:val="260E1D66"/>
    <w:rsid w:val="26296BDD"/>
    <w:rsid w:val="26AC4764"/>
    <w:rsid w:val="26F26087"/>
    <w:rsid w:val="27092BEA"/>
    <w:rsid w:val="27196C26"/>
    <w:rsid w:val="272B6DDA"/>
    <w:rsid w:val="27485D4F"/>
    <w:rsid w:val="277A3B68"/>
    <w:rsid w:val="278542BB"/>
    <w:rsid w:val="27961916"/>
    <w:rsid w:val="27D33279"/>
    <w:rsid w:val="27EC54E5"/>
    <w:rsid w:val="27ED371B"/>
    <w:rsid w:val="284A6463"/>
    <w:rsid w:val="284B4622"/>
    <w:rsid w:val="28B71EA8"/>
    <w:rsid w:val="290D4568"/>
    <w:rsid w:val="294E23E2"/>
    <w:rsid w:val="295305F3"/>
    <w:rsid w:val="296419B8"/>
    <w:rsid w:val="2985139A"/>
    <w:rsid w:val="29AE7EFD"/>
    <w:rsid w:val="29CE7ABA"/>
    <w:rsid w:val="29DB7445"/>
    <w:rsid w:val="2ABE0E37"/>
    <w:rsid w:val="2AD42465"/>
    <w:rsid w:val="2AEE5BF6"/>
    <w:rsid w:val="2B075F9C"/>
    <w:rsid w:val="2B1300BC"/>
    <w:rsid w:val="2B230396"/>
    <w:rsid w:val="2B6B468F"/>
    <w:rsid w:val="2BDE566D"/>
    <w:rsid w:val="2C252736"/>
    <w:rsid w:val="2C464019"/>
    <w:rsid w:val="2C695F59"/>
    <w:rsid w:val="2C855616"/>
    <w:rsid w:val="2CED0780"/>
    <w:rsid w:val="2D0C46FB"/>
    <w:rsid w:val="2D306A77"/>
    <w:rsid w:val="2D5409B8"/>
    <w:rsid w:val="2D6C7C8F"/>
    <w:rsid w:val="2D7F0FDD"/>
    <w:rsid w:val="2DBC3BF2"/>
    <w:rsid w:val="2DFF060D"/>
    <w:rsid w:val="2E051CB2"/>
    <w:rsid w:val="2E3C3DD3"/>
    <w:rsid w:val="2E6650E2"/>
    <w:rsid w:val="2EAE72C9"/>
    <w:rsid w:val="2EB72FAC"/>
    <w:rsid w:val="2EEDA119"/>
    <w:rsid w:val="2FC63855"/>
    <w:rsid w:val="2FDA3B5B"/>
    <w:rsid w:val="2FDC432A"/>
    <w:rsid w:val="2FDD55EF"/>
    <w:rsid w:val="302169BE"/>
    <w:rsid w:val="30B03703"/>
    <w:rsid w:val="30B35C2D"/>
    <w:rsid w:val="30D83F84"/>
    <w:rsid w:val="30E4774C"/>
    <w:rsid w:val="31207785"/>
    <w:rsid w:val="316677C9"/>
    <w:rsid w:val="316C2D0A"/>
    <w:rsid w:val="31767582"/>
    <w:rsid w:val="31BF5D78"/>
    <w:rsid w:val="31C6757A"/>
    <w:rsid w:val="31EE13DB"/>
    <w:rsid w:val="321B1079"/>
    <w:rsid w:val="321B5F48"/>
    <w:rsid w:val="324B7E6B"/>
    <w:rsid w:val="32FEB237"/>
    <w:rsid w:val="33064502"/>
    <w:rsid w:val="336A1505"/>
    <w:rsid w:val="33843D59"/>
    <w:rsid w:val="338D55D5"/>
    <w:rsid w:val="341634A4"/>
    <w:rsid w:val="345E1687"/>
    <w:rsid w:val="3480471C"/>
    <w:rsid w:val="34A42225"/>
    <w:rsid w:val="34DD5737"/>
    <w:rsid w:val="35066A3B"/>
    <w:rsid w:val="35320F9C"/>
    <w:rsid w:val="35EF78FE"/>
    <w:rsid w:val="362F3146"/>
    <w:rsid w:val="363D7171"/>
    <w:rsid w:val="3667672D"/>
    <w:rsid w:val="36822175"/>
    <w:rsid w:val="36BF3E34"/>
    <w:rsid w:val="36D13079"/>
    <w:rsid w:val="36DB5CA6"/>
    <w:rsid w:val="36E77E43"/>
    <w:rsid w:val="37210137"/>
    <w:rsid w:val="37310A0F"/>
    <w:rsid w:val="37517D16"/>
    <w:rsid w:val="377E496E"/>
    <w:rsid w:val="37B3686C"/>
    <w:rsid w:val="37F84160"/>
    <w:rsid w:val="38072EB6"/>
    <w:rsid w:val="38355307"/>
    <w:rsid w:val="3862042D"/>
    <w:rsid w:val="386545A3"/>
    <w:rsid w:val="38741F0E"/>
    <w:rsid w:val="387A3850"/>
    <w:rsid w:val="388A7136"/>
    <w:rsid w:val="38A31E44"/>
    <w:rsid w:val="392A565E"/>
    <w:rsid w:val="399C2602"/>
    <w:rsid w:val="39A44491"/>
    <w:rsid w:val="39AB38DD"/>
    <w:rsid w:val="39F94DC1"/>
    <w:rsid w:val="3A26548A"/>
    <w:rsid w:val="3A6A78FE"/>
    <w:rsid w:val="3A9A664A"/>
    <w:rsid w:val="3AA3590E"/>
    <w:rsid w:val="3AD92912"/>
    <w:rsid w:val="3AE315CD"/>
    <w:rsid w:val="3B0C0B24"/>
    <w:rsid w:val="3B311994"/>
    <w:rsid w:val="3B5D2D00"/>
    <w:rsid w:val="3B992E32"/>
    <w:rsid w:val="3BBA40DC"/>
    <w:rsid w:val="3BDB5F9B"/>
    <w:rsid w:val="3BE73A1E"/>
    <w:rsid w:val="3C065A7F"/>
    <w:rsid w:val="3C0B4A4A"/>
    <w:rsid w:val="3C0D7548"/>
    <w:rsid w:val="3C26554B"/>
    <w:rsid w:val="3C4542ED"/>
    <w:rsid w:val="3C4C4A15"/>
    <w:rsid w:val="3C5FD5E1"/>
    <w:rsid w:val="3CA31C06"/>
    <w:rsid w:val="3CBF2853"/>
    <w:rsid w:val="3CC74A43"/>
    <w:rsid w:val="3CDC08A6"/>
    <w:rsid w:val="3DDE324F"/>
    <w:rsid w:val="3E2E0D1C"/>
    <w:rsid w:val="3E3A23AF"/>
    <w:rsid w:val="3E4B0C76"/>
    <w:rsid w:val="3E94605E"/>
    <w:rsid w:val="3EAD43CC"/>
    <w:rsid w:val="3EB7D5B0"/>
    <w:rsid w:val="3ECB6031"/>
    <w:rsid w:val="3EE6168C"/>
    <w:rsid w:val="3EFF35A6"/>
    <w:rsid w:val="3F7C0364"/>
    <w:rsid w:val="3F89381E"/>
    <w:rsid w:val="3F905BB3"/>
    <w:rsid w:val="3FA81F7E"/>
    <w:rsid w:val="3FBC3EF6"/>
    <w:rsid w:val="3FEB51AC"/>
    <w:rsid w:val="3FFB673A"/>
    <w:rsid w:val="3FFE5DB7"/>
    <w:rsid w:val="3FFFE674"/>
    <w:rsid w:val="401502E1"/>
    <w:rsid w:val="401D43BA"/>
    <w:rsid w:val="401D528C"/>
    <w:rsid w:val="40624EF6"/>
    <w:rsid w:val="407E03DF"/>
    <w:rsid w:val="40C87496"/>
    <w:rsid w:val="41232723"/>
    <w:rsid w:val="41417C8C"/>
    <w:rsid w:val="415E2CC2"/>
    <w:rsid w:val="41AC447E"/>
    <w:rsid w:val="41E07D3E"/>
    <w:rsid w:val="41FF3FF5"/>
    <w:rsid w:val="42220C2D"/>
    <w:rsid w:val="42B64197"/>
    <w:rsid w:val="42C33B61"/>
    <w:rsid w:val="42E44134"/>
    <w:rsid w:val="437414B2"/>
    <w:rsid w:val="43DE185B"/>
    <w:rsid w:val="43FF8EDA"/>
    <w:rsid w:val="440330F7"/>
    <w:rsid w:val="44E52E24"/>
    <w:rsid w:val="44EC0001"/>
    <w:rsid w:val="44FB450C"/>
    <w:rsid w:val="452B1632"/>
    <w:rsid w:val="45A55DFD"/>
    <w:rsid w:val="45C73115"/>
    <w:rsid w:val="45F0630F"/>
    <w:rsid w:val="45F7E083"/>
    <w:rsid w:val="46635A0D"/>
    <w:rsid w:val="46C70398"/>
    <w:rsid w:val="46FDA6A8"/>
    <w:rsid w:val="47021D4B"/>
    <w:rsid w:val="476E6AAA"/>
    <w:rsid w:val="4770333C"/>
    <w:rsid w:val="4791159B"/>
    <w:rsid w:val="47A05784"/>
    <w:rsid w:val="48EE1B38"/>
    <w:rsid w:val="49357497"/>
    <w:rsid w:val="49C74C15"/>
    <w:rsid w:val="49E1593A"/>
    <w:rsid w:val="49F78B24"/>
    <w:rsid w:val="4A18717E"/>
    <w:rsid w:val="4A21488E"/>
    <w:rsid w:val="4B2B2900"/>
    <w:rsid w:val="4B2E6D15"/>
    <w:rsid w:val="4B7E687C"/>
    <w:rsid w:val="4BFB226A"/>
    <w:rsid w:val="4C0069AE"/>
    <w:rsid w:val="4C28419B"/>
    <w:rsid w:val="4C2C3BA4"/>
    <w:rsid w:val="4C416967"/>
    <w:rsid w:val="4C6C5FAF"/>
    <w:rsid w:val="4C9A6F64"/>
    <w:rsid w:val="4CAC29D4"/>
    <w:rsid w:val="4CC60709"/>
    <w:rsid w:val="4D592C48"/>
    <w:rsid w:val="4D7218D4"/>
    <w:rsid w:val="4D84736B"/>
    <w:rsid w:val="4DB45034"/>
    <w:rsid w:val="4E061402"/>
    <w:rsid w:val="4E08062E"/>
    <w:rsid w:val="4E1FB626"/>
    <w:rsid w:val="4E894935"/>
    <w:rsid w:val="4F5F7963"/>
    <w:rsid w:val="4F70378D"/>
    <w:rsid w:val="4F70758B"/>
    <w:rsid w:val="4FB8672C"/>
    <w:rsid w:val="4FBA99B2"/>
    <w:rsid w:val="4FC750E2"/>
    <w:rsid w:val="4FE53339"/>
    <w:rsid w:val="4FE774B9"/>
    <w:rsid w:val="4FF90248"/>
    <w:rsid w:val="502A3EEA"/>
    <w:rsid w:val="50492936"/>
    <w:rsid w:val="50680152"/>
    <w:rsid w:val="506A211C"/>
    <w:rsid w:val="506A5C79"/>
    <w:rsid w:val="507408A5"/>
    <w:rsid w:val="514E0CD8"/>
    <w:rsid w:val="51774D38"/>
    <w:rsid w:val="51D07D5D"/>
    <w:rsid w:val="51E175A6"/>
    <w:rsid w:val="5226363D"/>
    <w:rsid w:val="52633062"/>
    <w:rsid w:val="52634207"/>
    <w:rsid w:val="52BD7DEE"/>
    <w:rsid w:val="5324397C"/>
    <w:rsid w:val="53365E59"/>
    <w:rsid w:val="5339BCBC"/>
    <w:rsid w:val="53A35F32"/>
    <w:rsid w:val="53B478FD"/>
    <w:rsid w:val="53ED5B75"/>
    <w:rsid w:val="54050A7A"/>
    <w:rsid w:val="54212A7F"/>
    <w:rsid w:val="546849D5"/>
    <w:rsid w:val="54AC2F51"/>
    <w:rsid w:val="54E807B4"/>
    <w:rsid w:val="550D2782"/>
    <w:rsid w:val="5517043E"/>
    <w:rsid w:val="55A32FF3"/>
    <w:rsid w:val="55E069DD"/>
    <w:rsid w:val="56421B30"/>
    <w:rsid w:val="566B4385"/>
    <w:rsid w:val="567A28AE"/>
    <w:rsid w:val="568174DF"/>
    <w:rsid w:val="56EA1004"/>
    <w:rsid w:val="56EA26C7"/>
    <w:rsid w:val="56F645D9"/>
    <w:rsid w:val="56FF3BB6"/>
    <w:rsid w:val="570C52D1"/>
    <w:rsid w:val="572F38F7"/>
    <w:rsid w:val="57487118"/>
    <w:rsid w:val="57684EDC"/>
    <w:rsid w:val="577C641C"/>
    <w:rsid w:val="579C2DD6"/>
    <w:rsid w:val="57BA6886"/>
    <w:rsid w:val="57BD85FA"/>
    <w:rsid w:val="57EB24A5"/>
    <w:rsid w:val="57F73F4B"/>
    <w:rsid w:val="57F919A5"/>
    <w:rsid w:val="57FD6159"/>
    <w:rsid w:val="57FD66F1"/>
    <w:rsid w:val="581D7091"/>
    <w:rsid w:val="58F34AA5"/>
    <w:rsid w:val="591A51E9"/>
    <w:rsid w:val="592540F6"/>
    <w:rsid w:val="59DB3743"/>
    <w:rsid w:val="5A3C3985"/>
    <w:rsid w:val="5A4768BC"/>
    <w:rsid w:val="5A6575A1"/>
    <w:rsid w:val="5AB26A89"/>
    <w:rsid w:val="5B670556"/>
    <w:rsid w:val="5B8500D2"/>
    <w:rsid w:val="5BA30910"/>
    <w:rsid w:val="5C7810C4"/>
    <w:rsid w:val="5D5522D8"/>
    <w:rsid w:val="5D6748FF"/>
    <w:rsid w:val="5D8C4AA1"/>
    <w:rsid w:val="5DBE6C32"/>
    <w:rsid w:val="5E370826"/>
    <w:rsid w:val="5E4775F9"/>
    <w:rsid w:val="5E4C1508"/>
    <w:rsid w:val="5EF71CD7"/>
    <w:rsid w:val="5F070A79"/>
    <w:rsid w:val="5F0C3011"/>
    <w:rsid w:val="5F1053DB"/>
    <w:rsid w:val="5F4C6B5E"/>
    <w:rsid w:val="5F5D382B"/>
    <w:rsid w:val="5FFC4FA9"/>
    <w:rsid w:val="60E53A90"/>
    <w:rsid w:val="612B61E7"/>
    <w:rsid w:val="61323147"/>
    <w:rsid w:val="6152695C"/>
    <w:rsid w:val="61930DA7"/>
    <w:rsid w:val="61AC40AF"/>
    <w:rsid w:val="61FC3A47"/>
    <w:rsid w:val="61FF6FA6"/>
    <w:rsid w:val="62080A69"/>
    <w:rsid w:val="620D46B6"/>
    <w:rsid w:val="620F2EC4"/>
    <w:rsid w:val="62380901"/>
    <w:rsid w:val="624111C5"/>
    <w:rsid w:val="62FB4228"/>
    <w:rsid w:val="63044CE0"/>
    <w:rsid w:val="6334311F"/>
    <w:rsid w:val="635124A7"/>
    <w:rsid w:val="635E4597"/>
    <w:rsid w:val="63A73FE2"/>
    <w:rsid w:val="63AB687C"/>
    <w:rsid w:val="63F86042"/>
    <w:rsid w:val="64191283"/>
    <w:rsid w:val="646F1658"/>
    <w:rsid w:val="64762D16"/>
    <w:rsid w:val="648D5F82"/>
    <w:rsid w:val="64AC0EAB"/>
    <w:rsid w:val="64D63485"/>
    <w:rsid w:val="65077AE2"/>
    <w:rsid w:val="65164B3F"/>
    <w:rsid w:val="652E05B0"/>
    <w:rsid w:val="65890C97"/>
    <w:rsid w:val="659410AE"/>
    <w:rsid w:val="6597768B"/>
    <w:rsid w:val="65BA1448"/>
    <w:rsid w:val="66FBBFBB"/>
    <w:rsid w:val="6753700F"/>
    <w:rsid w:val="67A33940"/>
    <w:rsid w:val="67BD26DA"/>
    <w:rsid w:val="67C36843"/>
    <w:rsid w:val="692844CB"/>
    <w:rsid w:val="692C2110"/>
    <w:rsid w:val="69324B5A"/>
    <w:rsid w:val="69561038"/>
    <w:rsid w:val="698C10E0"/>
    <w:rsid w:val="69AA5AB3"/>
    <w:rsid w:val="6A084BD5"/>
    <w:rsid w:val="6AE41401"/>
    <w:rsid w:val="6AFC176B"/>
    <w:rsid w:val="6B0574D0"/>
    <w:rsid w:val="6B3E476F"/>
    <w:rsid w:val="6B6C1D56"/>
    <w:rsid w:val="6B7A6AB3"/>
    <w:rsid w:val="6BA73CBA"/>
    <w:rsid w:val="6BAD55C8"/>
    <w:rsid w:val="6BFFA7C9"/>
    <w:rsid w:val="6C11018A"/>
    <w:rsid w:val="6C18254E"/>
    <w:rsid w:val="6C215B15"/>
    <w:rsid w:val="6C3F1491"/>
    <w:rsid w:val="6CB12408"/>
    <w:rsid w:val="6CF568D7"/>
    <w:rsid w:val="6CF87FA9"/>
    <w:rsid w:val="6D30394E"/>
    <w:rsid w:val="6D6FDBED"/>
    <w:rsid w:val="6DCF0E93"/>
    <w:rsid w:val="6DEFEFCF"/>
    <w:rsid w:val="6DF7453E"/>
    <w:rsid w:val="6DF7F850"/>
    <w:rsid w:val="6E293CC9"/>
    <w:rsid w:val="6E313E22"/>
    <w:rsid w:val="6E8E2694"/>
    <w:rsid w:val="6EA376B9"/>
    <w:rsid w:val="6EE80984"/>
    <w:rsid w:val="6EE972E1"/>
    <w:rsid w:val="6EF46E91"/>
    <w:rsid w:val="6F032C37"/>
    <w:rsid w:val="6F4162E7"/>
    <w:rsid w:val="6F5D2F33"/>
    <w:rsid w:val="6F6B6EC0"/>
    <w:rsid w:val="6F773AB6"/>
    <w:rsid w:val="6F775864"/>
    <w:rsid w:val="6F7F7625"/>
    <w:rsid w:val="6FC07BEE"/>
    <w:rsid w:val="6FC5214C"/>
    <w:rsid w:val="6FD66A2F"/>
    <w:rsid w:val="70046999"/>
    <w:rsid w:val="700F7BD9"/>
    <w:rsid w:val="701A6C1D"/>
    <w:rsid w:val="702E0077"/>
    <w:rsid w:val="70465B87"/>
    <w:rsid w:val="70576ED0"/>
    <w:rsid w:val="708A15C7"/>
    <w:rsid w:val="70EE57D5"/>
    <w:rsid w:val="70EE5FFA"/>
    <w:rsid w:val="70F42D6B"/>
    <w:rsid w:val="712A6D17"/>
    <w:rsid w:val="712C238D"/>
    <w:rsid w:val="71544AC9"/>
    <w:rsid w:val="716117B1"/>
    <w:rsid w:val="71733BBD"/>
    <w:rsid w:val="71DFA0A0"/>
    <w:rsid w:val="725A03AD"/>
    <w:rsid w:val="72ABD247"/>
    <w:rsid w:val="7362253E"/>
    <w:rsid w:val="7368046D"/>
    <w:rsid w:val="73F016F9"/>
    <w:rsid w:val="73F05BE5"/>
    <w:rsid w:val="74267FF7"/>
    <w:rsid w:val="743813A0"/>
    <w:rsid w:val="746E2181"/>
    <w:rsid w:val="74B418EC"/>
    <w:rsid w:val="74E26C22"/>
    <w:rsid w:val="75571FE3"/>
    <w:rsid w:val="757A1578"/>
    <w:rsid w:val="75B2725B"/>
    <w:rsid w:val="75BF6740"/>
    <w:rsid w:val="75F9D63E"/>
    <w:rsid w:val="767F128B"/>
    <w:rsid w:val="76B7918C"/>
    <w:rsid w:val="76B9348C"/>
    <w:rsid w:val="76BD0A76"/>
    <w:rsid w:val="76FE5124"/>
    <w:rsid w:val="77075E9E"/>
    <w:rsid w:val="77127F50"/>
    <w:rsid w:val="771D07BE"/>
    <w:rsid w:val="772637B4"/>
    <w:rsid w:val="776C7C79"/>
    <w:rsid w:val="77960E39"/>
    <w:rsid w:val="77DBE26F"/>
    <w:rsid w:val="7867249A"/>
    <w:rsid w:val="787A6F5E"/>
    <w:rsid w:val="78E421BD"/>
    <w:rsid w:val="78F5937F"/>
    <w:rsid w:val="78F90DAD"/>
    <w:rsid w:val="7953080F"/>
    <w:rsid w:val="799E22B0"/>
    <w:rsid w:val="79AE27CB"/>
    <w:rsid w:val="7A056121"/>
    <w:rsid w:val="7A50773B"/>
    <w:rsid w:val="7A862892"/>
    <w:rsid w:val="7AC83418"/>
    <w:rsid w:val="7AD037CA"/>
    <w:rsid w:val="7AEBF7E0"/>
    <w:rsid w:val="7B2102AE"/>
    <w:rsid w:val="7B2B7956"/>
    <w:rsid w:val="7B4E1B6F"/>
    <w:rsid w:val="7B5B5753"/>
    <w:rsid w:val="7B7A2C81"/>
    <w:rsid w:val="7B7B66DC"/>
    <w:rsid w:val="7B7EAF00"/>
    <w:rsid w:val="7B904DF1"/>
    <w:rsid w:val="7BB84ABD"/>
    <w:rsid w:val="7BD9818E"/>
    <w:rsid w:val="7BEC5454"/>
    <w:rsid w:val="7C2428D0"/>
    <w:rsid w:val="7C630393"/>
    <w:rsid w:val="7C663E4D"/>
    <w:rsid w:val="7C767067"/>
    <w:rsid w:val="7C7FFFE4"/>
    <w:rsid w:val="7C85610F"/>
    <w:rsid w:val="7CBC865C"/>
    <w:rsid w:val="7CBD4B22"/>
    <w:rsid w:val="7CFFC422"/>
    <w:rsid w:val="7D0211AE"/>
    <w:rsid w:val="7D1140F0"/>
    <w:rsid w:val="7D61942D"/>
    <w:rsid w:val="7DEB33F7"/>
    <w:rsid w:val="7DFB3C7B"/>
    <w:rsid w:val="7DFC1BE0"/>
    <w:rsid w:val="7E907649"/>
    <w:rsid w:val="7EA94D13"/>
    <w:rsid w:val="7EBF5735"/>
    <w:rsid w:val="7EC6121C"/>
    <w:rsid w:val="7ED75622"/>
    <w:rsid w:val="7EE92DAF"/>
    <w:rsid w:val="7EEFF9D1"/>
    <w:rsid w:val="7EF4B29F"/>
    <w:rsid w:val="7EF5BBE1"/>
    <w:rsid w:val="7EFF7BA0"/>
    <w:rsid w:val="7F39E4C8"/>
    <w:rsid w:val="7F789923"/>
    <w:rsid w:val="7F963AE5"/>
    <w:rsid w:val="7FBDB474"/>
    <w:rsid w:val="7FBF33C6"/>
    <w:rsid w:val="7FCF55C7"/>
    <w:rsid w:val="7FE140C3"/>
    <w:rsid w:val="7FF7C653"/>
    <w:rsid w:val="7FFD22E2"/>
    <w:rsid w:val="8A72BCDE"/>
    <w:rsid w:val="8FED01AA"/>
    <w:rsid w:val="918E17C6"/>
    <w:rsid w:val="9407DDA8"/>
    <w:rsid w:val="96ADF503"/>
    <w:rsid w:val="96F9796C"/>
    <w:rsid w:val="9E9B1BD0"/>
    <w:rsid w:val="9EFAA92F"/>
    <w:rsid w:val="9F797C81"/>
    <w:rsid w:val="9FDADD8B"/>
    <w:rsid w:val="AEFB7AA1"/>
    <w:rsid w:val="B48E2B84"/>
    <w:rsid w:val="B7F548CE"/>
    <w:rsid w:val="B9FA0C42"/>
    <w:rsid w:val="BAAE7F4F"/>
    <w:rsid w:val="BB575051"/>
    <w:rsid w:val="BCBADB4A"/>
    <w:rsid w:val="BCF733AE"/>
    <w:rsid w:val="BDC7B518"/>
    <w:rsid w:val="BDFD98D7"/>
    <w:rsid w:val="BE6F5CF2"/>
    <w:rsid w:val="BFBDCB0C"/>
    <w:rsid w:val="BFBE2636"/>
    <w:rsid w:val="BFEC6865"/>
    <w:rsid w:val="BFEF8C4B"/>
    <w:rsid w:val="BFF6A69B"/>
    <w:rsid w:val="BFFD1CDF"/>
    <w:rsid w:val="BFFE1B55"/>
    <w:rsid w:val="C2FB5479"/>
    <w:rsid w:val="C2FF7A25"/>
    <w:rsid w:val="C3DF5144"/>
    <w:rsid w:val="CB77A50D"/>
    <w:rsid w:val="CEFF5E9E"/>
    <w:rsid w:val="CFF76B07"/>
    <w:rsid w:val="D3FFCB26"/>
    <w:rsid w:val="D5F5AB38"/>
    <w:rsid w:val="D5FEA52C"/>
    <w:rsid w:val="D6FFC274"/>
    <w:rsid w:val="D7672889"/>
    <w:rsid w:val="DBAFC84F"/>
    <w:rsid w:val="DBFD5F19"/>
    <w:rsid w:val="DDAF4F9B"/>
    <w:rsid w:val="DDFF775D"/>
    <w:rsid w:val="DEFD8EF8"/>
    <w:rsid w:val="DF9B35F9"/>
    <w:rsid w:val="DFE9E76F"/>
    <w:rsid w:val="E3FDDDC4"/>
    <w:rsid w:val="E6C326A3"/>
    <w:rsid w:val="EBDBFC84"/>
    <w:rsid w:val="ED7F5B2E"/>
    <w:rsid w:val="EDBBC91B"/>
    <w:rsid w:val="EDD71DDC"/>
    <w:rsid w:val="EDF72A34"/>
    <w:rsid w:val="EF158642"/>
    <w:rsid w:val="EF610F4F"/>
    <w:rsid w:val="EF7F6D3E"/>
    <w:rsid w:val="EFADE98D"/>
    <w:rsid w:val="EFC71CE3"/>
    <w:rsid w:val="EFFF9487"/>
    <w:rsid w:val="F05D7CB7"/>
    <w:rsid w:val="F1F744C3"/>
    <w:rsid w:val="F35706B8"/>
    <w:rsid w:val="F5FA7E30"/>
    <w:rsid w:val="F71BDF77"/>
    <w:rsid w:val="F7FD4A64"/>
    <w:rsid w:val="F7FF81F0"/>
    <w:rsid w:val="F9B75AEC"/>
    <w:rsid w:val="FAAE40D1"/>
    <w:rsid w:val="FABF83A1"/>
    <w:rsid w:val="FAFF777D"/>
    <w:rsid w:val="FB3FBADC"/>
    <w:rsid w:val="FBA3CB24"/>
    <w:rsid w:val="FBEEB020"/>
    <w:rsid w:val="FBF4D767"/>
    <w:rsid w:val="FD6F914D"/>
    <w:rsid w:val="FDC75CBE"/>
    <w:rsid w:val="FDD7CC4E"/>
    <w:rsid w:val="FDEE3C1F"/>
    <w:rsid w:val="FDEFA310"/>
    <w:rsid w:val="FE3758E2"/>
    <w:rsid w:val="FEFF5B90"/>
    <w:rsid w:val="FF37C103"/>
    <w:rsid w:val="FF73E478"/>
    <w:rsid w:val="FF75457A"/>
    <w:rsid w:val="FFCD7C83"/>
    <w:rsid w:val="FFCF38C8"/>
    <w:rsid w:val="FFD71CEF"/>
    <w:rsid w:val="FFDB116B"/>
    <w:rsid w:val="FFDD66CF"/>
    <w:rsid w:val="FFFFB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
    <w:pPr>
      <w:keepNext/>
      <w:keepLines/>
      <w:spacing w:before="280" w:after="290" w:line="376" w:lineRule="auto"/>
      <w:outlineLvl w:val="3"/>
    </w:pPr>
    <w:rPr>
      <w:rFonts w:ascii="Cambria" w:hAnsi="Cambria"/>
      <w:sz w:val="28"/>
      <w:szCs w:val="28"/>
    </w:rPr>
  </w:style>
  <w:style w:type="character" w:default="1" w:styleId="9">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next w:val="1"/>
    <w:unhideWhenUsed/>
    <w:qFormat/>
    <w:uiPriority w:val="0"/>
    <w:pPr>
      <w:ind w:firstLine="420" w:firstLineChars="200"/>
    </w:pPr>
    <w:rPr>
      <w:rFonts w:ascii="Calibri" w:hAnsi="Calibri"/>
      <w:szCs w:val="22"/>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link w:val="16"/>
    <w:qFormat/>
    <w:uiPriority w:val="0"/>
    <w:pP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unhideWhenUsed/>
    <w:qFormat/>
    <w:uiPriority w:val="99"/>
    <w:pPr>
      <w:spacing w:before="240" w:after="60"/>
      <w:jc w:val="center"/>
      <w:outlineLvl w:val="0"/>
    </w:pPr>
    <w:rPr>
      <w:rFonts w:hint="eastAsia" w:ascii="Cambria" w:hAnsi="Cambria"/>
      <w:b/>
      <w:sz w:val="32"/>
    </w:rPr>
  </w:style>
  <w:style w:type="character" w:styleId="10">
    <w:name w:val="Strong"/>
    <w:basedOn w:val="9"/>
    <w:qFormat/>
    <w:uiPriority w:val="0"/>
    <w:rPr>
      <w:b/>
    </w:rPr>
  </w:style>
  <w:style w:type="character" w:customStyle="1" w:styleId="12">
    <w:name w:val="样式 仿宋 黑色"/>
    <w:qFormat/>
    <w:uiPriority w:val="0"/>
    <w:rPr>
      <w:rFonts w:hint="eastAsia" w:ascii="仿宋" w:hAnsi="仿宋" w:eastAsia="方正仿宋_GBK"/>
      <w:color w:val="000000"/>
      <w:kern w:val="0"/>
    </w:rPr>
  </w:style>
  <w:style w:type="character" w:customStyle="1" w:styleId="13">
    <w:name w:val="正文文本 (2)_"/>
    <w:basedOn w:val="9"/>
    <w:link w:val="14"/>
    <w:unhideWhenUsed/>
    <w:qFormat/>
    <w:uiPriority w:val="99"/>
    <w:rPr>
      <w:rFonts w:hint="eastAsia" w:ascii="宋体" w:hAnsi="宋体" w:eastAsia="宋体"/>
      <w:spacing w:val="20"/>
      <w:sz w:val="30"/>
    </w:rPr>
  </w:style>
  <w:style w:type="paragraph" w:customStyle="1" w:styleId="14">
    <w:name w:val="正文文本 (2)"/>
    <w:basedOn w:val="1"/>
    <w:link w:val="13"/>
    <w:unhideWhenUsed/>
    <w:qFormat/>
    <w:uiPriority w:val="99"/>
    <w:pPr>
      <w:shd w:val="clear" w:color="auto" w:fill="FFFFFF"/>
      <w:spacing w:line="557" w:lineRule="exact"/>
      <w:jc w:val="distribute"/>
    </w:pPr>
    <w:rPr>
      <w:rFonts w:hint="eastAsia" w:ascii="宋体" w:hAnsi="宋体"/>
      <w:spacing w:val="20"/>
      <w:sz w:val="30"/>
    </w:rPr>
  </w:style>
  <w:style w:type="paragraph" w:styleId="15">
    <w:name w:val="List Paragraph"/>
    <w:basedOn w:val="1"/>
    <w:qFormat/>
    <w:uiPriority w:val="34"/>
    <w:pPr>
      <w:ind w:firstLine="420" w:firstLineChars="200"/>
    </w:pPr>
  </w:style>
  <w:style w:type="character" w:customStyle="1" w:styleId="16">
    <w:name w:val="页眉 字符"/>
    <w:basedOn w:val="9"/>
    <w:link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1267</Words>
  <Characters>7222</Characters>
  <Lines>60</Lines>
  <Paragraphs>16</Paragraphs>
  <TotalTime>0</TotalTime>
  <ScaleCrop>false</ScaleCrop>
  <LinksUpToDate>false</LinksUpToDate>
  <CharactersWithSpaces>8473</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2022-05-06T00:28:00Z</dcterms:created>
  <dc:creator>周报春</dc:creator>
  <cp:lastModifiedBy>Shadowyang</cp:lastModifiedBy>
  <dcterms:modified xsi:type="dcterms:W3CDTF">2023-08-22T01:16:50Z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DD6E02023F2F4CA49832D925E0CBFBBE</vt:lpwstr>
  </property>
</Properties>
</file>